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30C" w:rsidRDefault="007E4967" w:rsidP="00241BDC">
      <w:pPr>
        <w:spacing w:after="0" w:line="240" w:lineRule="auto"/>
        <w:ind w:firstLine="360"/>
        <w:jc w:val="both"/>
      </w:pPr>
      <w:bookmarkStart w:id="0" w:name="_GoBack"/>
      <w:bookmarkEnd w:id="0"/>
      <w:r>
        <w:t xml:space="preserve">Based on Article 16 paragraph 3, Article 86 paragraph 1, Article 87 paragraph 5, Article 97 paragraph 2, Article 194 paragraph 2, Article 199 paragraph 5, Article 239, Article 249 paragraph 1 and Article 265 of the Air Transport Law (“the Official Gazette of RS”, No 73/10, 57/11, 93/12, 45/15, 66/15 – other law, 83/18, 9/20 and 62/23), </w:t>
      </w:r>
    </w:p>
    <w:p w:rsidR="00F8730C" w:rsidRDefault="00F8730C" w:rsidP="00F8730C">
      <w:pPr>
        <w:spacing w:after="0" w:line="240" w:lineRule="auto"/>
        <w:ind w:firstLine="720"/>
        <w:jc w:val="both"/>
      </w:pPr>
    </w:p>
    <w:p w:rsidR="00382D1C" w:rsidRDefault="007E4967" w:rsidP="00241BDC">
      <w:pPr>
        <w:spacing w:after="0" w:line="240" w:lineRule="auto"/>
        <w:ind w:firstLine="360"/>
        <w:jc w:val="both"/>
      </w:pPr>
      <w:r>
        <w:t>Director of the Civil Aviation Directorate of the Republic of Serbia hereby adopts</w:t>
      </w:r>
    </w:p>
    <w:p w:rsidR="00F8730C" w:rsidRDefault="00F8730C" w:rsidP="00F8730C">
      <w:pPr>
        <w:spacing w:after="0" w:line="240" w:lineRule="auto"/>
        <w:ind w:firstLine="720"/>
        <w:jc w:val="both"/>
        <w:rPr>
          <w:b/>
        </w:rPr>
      </w:pPr>
    </w:p>
    <w:p w:rsidR="00D221F1" w:rsidRDefault="00D221F1" w:rsidP="00D221F1">
      <w:pPr>
        <w:jc w:val="center"/>
        <w:rPr>
          <w:b/>
        </w:rPr>
      </w:pPr>
      <w:r>
        <w:rPr>
          <w:b/>
        </w:rPr>
        <w:t>Regulation amending Regulation on performing air operations with balloons</w:t>
      </w:r>
    </w:p>
    <w:p w:rsidR="0045354A" w:rsidRDefault="00D0529E" w:rsidP="00D80CCE">
      <w:pPr>
        <w:spacing w:after="0"/>
        <w:jc w:val="center"/>
      </w:pPr>
      <w:r>
        <w:rPr>
          <w:b/>
        </w:rPr>
        <w:t>Article 1</w:t>
      </w:r>
    </w:p>
    <w:p w:rsidR="00B07BD6" w:rsidRDefault="00D0529E" w:rsidP="00241BDC">
      <w:pPr>
        <w:spacing w:after="0"/>
        <w:ind w:firstLine="360"/>
        <w:jc w:val="both"/>
      </w:pPr>
      <w:r>
        <w:t xml:space="preserve">In the Regulation on performing air operations </w:t>
      </w:r>
      <w:r w:rsidR="00D221F1">
        <w:t>with</w:t>
      </w:r>
      <w:r>
        <w:t xml:space="preserve"> balloons (“Official Gazette of RS”, </w:t>
      </w:r>
      <w:r w:rsidR="00241BDC">
        <w:t>nos</w:t>
      </w:r>
      <w:r>
        <w:t xml:space="preserve"> 3/21 and 65/23), Article 1, paragraph 1, is amended to read as follows:</w:t>
      </w:r>
    </w:p>
    <w:p w:rsidR="00B07BD6" w:rsidRDefault="00D0529E" w:rsidP="00241BDC">
      <w:pPr>
        <w:ind w:firstLine="360"/>
        <w:jc w:val="both"/>
      </w:pPr>
      <w:r>
        <w:t>“This Regulation lays down in detail: the conditions to be met by a balloon operator conducting commercial air transport operations in the capacity of a declarant; the conditions under which a declarant is prohibited or restricted from carrying out activities, as well as the declaration form; the conditions under which the balloon operator’s safety management system shall be established and used; the conditions for granting prior consent to the conclusion of a lease agreement for a balloon; detailed conditions and manner of performing specialised aviation activities conducted by balloon for remuneration; the conditions to be met by a balloon operator conducting non-commercial operations, as well as the documents and manuals required to be carried on board the balloon during flight.”</w:t>
      </w:r>
    </w:p>
    <w:p w:rsidR="00B07BD6" w:rsidRDefault="00D0529E" w:rsidP="00241BDC">
      <w:pPr>
        <w:spacing w:after="0"/>
        <w:ind w:firstLine="360"/>
        <w:jc w:val="both"/>
      </w:pPr>
      <w:r>
        <w:t>After paragraph 3, a new paragraph 4 is added, which reads:</w:t>
      </w:r>
    </w:p>
    <w:p w:rsidR="0045354A" w:rsidRDefault="00D0529E" w:rsidP="00241BDC">
      <w:pPr>
        <w:spacing w:after="0"/>
        <w:ind w:firstLine="360"/>
        <w:jc w:val="both"/>
      </w:pPr>
      <w:r>
        <w:t>“The provisions of this Regulation shall not apply to tethered gas balloons.”</w:t>
      </w:r>
    </w:p>
    <w:p w:rsidR="00241BDC" w:rsidRDefault="00241BDC" w:rsidP="00241BDC">
      <w:pPr>
        <w:spacing w:after="0"/>
        <w:jc w:val="center"/>
        <w:rPr>
          <w:b/>
        </w:rPr>
      </w:pPr>
    </w:p>
    <w:p w:rsidR="0045354A" w:rsidRDefault="00D0529E" w:rsidP="00241BDC">
      <w:pPr>
        <w:spacing w:after="0"/>
        <w:jc w:val="center"/>
      </w:pPr>
      <w:r>
        <w:rPr>
          <w:b/>
        </w:rPr>
        <w:t>Article 2</w:t>
      </w:r>
    </w:p>
    <w:p w:rsidR="00B07BD6" w:rsidRDefault="00D0529E" w:rsidP="00241BDC">
      <w:pPr>
        <w:spacing w:after="0"/>
        <w:ind w:firstLine="360"/>
        <w:jc w:val="both"/>
      </w:pPr>
      <w:r>
        <w:t>In Article 2, paragraph 3, point 3) is amended to read as follows:</w:t>
      </w:r>
    </w:p>
    <w:p w:rsidR="0045354A" w:rsidRDefault="00D0529E" w:rsidP="00241BDC">
      <w:pPr>
        <w:spacing w:line="240" w:lineRule="auto"/>
        <w:ind w:firstLine="360"/>
        <w:jc w:val="both"/>
      </w:pPr>
      <w:r>
        <w:t>“3) Alternative Means of Compliance (AltMoC) approved by the Civil Aviation Directorate of the Republic of Serbia in accordance with the provisions of this Regulation.”</w:t>
      </w:r>
    </w:p>
    <w:p w:rsidR="00B07BD6" w:rsidRDefault="00D0529E" w:rsidP="00241BDC">
      <w:pPr>
        <w:spacing w:after="0" w:line="240" w:lineRule="auto"/>
        <w:jc w:val="center"/>
      </w:pPr>
      <w:r>
        <w:rPr>
          <w:b/>
        </w:rPr>
        <w:t>Article 3</w:t>
      </w:r>
    </w:p>
    <w:p w:rsidR="00241BDC" w:rsidRDefault="00D0529E" w:rsidP="00241BDC">
      <w:pPr>
        <w:spacing w:after="0" w:line="240" w:lineRule="auto"/>
        <w:ind w:firstLine="450"/>
        <w:jc w:val="both"/>
      </w:pPr>
      <w:r>
        <w:t>In Article 3, paragraph 1, points 1) and 1a) are added, which read as follows:</w:t>
      </w:r>
    </w:p>
    <w:p w:rsidR="00241BDC" w:rsidRDefault="00D0529E" w:rsidP="00241BDC">
      <w:pPr>
        <w:spacing w:after="0" w:line="240" w:lineRule="auto"/>
        <w:ind w:firstLine="450"/>
        <w:jc w:val="both"/>
      </w:pPr>
      <w:r>
        <w:t>“1) The ECAA Agreement means the Multilateral Agreement between the European Community and its Member States, the Republic of Albania, Bosnia and Herzegovina, the Republic of Bulgaria, the Republic of Croatia, the Former Yugoslav Republic of Macedonia, the Republic of Iceland, the Republic of Montenegro, the Kingdom of Norway, Romania, the Republic of Serbia and the United Nations Interim Administration Mission in Kosovo (pursuant to United Nations Security Council Resolution 1244 of 10 June 1999) on the establishment of a European Common Aviation Area;</w:t>
      </w:r>
    </w:p>
    <w:p w:rsidR="00B07BD6" w:rsidRDefault="00D0529E" w:rsidP="00241BDC">
      <w:pPr>
        <w:spacing w:after="0" w:line="240" w:lineRule="auto"/>
        <w:ind w:firstLine="450"/>
        <w:jc w:val="both"/>
      </w:pPr>
      <w:r>
        <w:t>1a) The competent authority in the Republic of Serbia is the Civil Aviation Directorate of the Republic of Serbia (hereinafter:</w:t>
      </w:r>
      <w:r w:rsidR="007C0458">
        <w:t xml:space="preserve"> </w:t>
      </w:r>
      <w:r>
        <w:t>the</w:t>
      </w:r>
      <w:r w:rsidR="007C0458">
        <w:t xml:space="preserve"> </w:t>
      </w:r>
      <w:r>
        <w:t>Directorate), in accordance with the Air Transport Law.”</w:t>
      </w:r>
    </w:p>
    <w:p w:rsidR="00241BDC" w:rsidRDefault="00241BDC" w:rsidP="00D80CCE">
      <w:pPr>
        <w:spacing w:line="240" w:lineRule="auto"/>
        <w:ind w:firstLine="720"/>
      </w:pPr>
    </w:p>
    <w:p w:rsidR="00B07BD6" w:rsidRDefault="00D0529E" w:rsidP="00D80CCE">
      <w:pPr>
        <w:spacing w:line="240" w:lineRule="auto"/>
        <w:ind w:firstLine="720"/>
      </w:pPr>
      <w:r>
        <w:t>Point 3) is amended to read as follows:</w:t>
      </w:r>
    </w:p>
    <w:p w:rsidR="00497F58" w:rsidRDefault="00D0529E" w:rsidP="00241BDC">
      <w:pPr>
        <w:spacing w:after="0" w:line="240" w:lineRule="auto"/>
        <w:ind w:firstLine="360"/>
        <w:jc w:val="both"/>
      </w:pPr>
      <w:r>
        <w:lastRenderedPageBreak/>
        <w:t>3) Commission Regulation (EU) No 748/2012 means Commission Regulation (EU) No 748/2012 of 3 August 2012 laying down implementing rules for the airworthiness and environmental certification of aircraft and related products, parts and appliances, as well as for the certification of design and production organisations. This Regulation is implemented in the Republic of Serbia through the Regulation on the certification of aircraft and design and production organisations (‘Official Gazette of RS’, No 49/25).”</w:t>
      </w:r>
    </w:p>
    <w:p w:rsidR="00497F58" w:rsidRDefault="00D0529E" w:rsidP="00241BDC">
      <w:pPr>
        <w:spacing w:after="0"/>
        <w:ind w:firstLine="360"/>
        <w:jc w:val="both"/>
      </w:pPr>
      <w:r>
        <w:t xml:space="preserve">In point 4), the words “(‘Official Gazette of RS’, </w:t>
      </w:r>
      <w:r w:rsidR="00E93BAD">
        <w:t>nos</w:t>
      </w:r>
      <w:r>
        <w:t xml:space="preserve"> 9/18, 56/18, 12/19, 3/21, 54/21, 117/21, 112/22 and 46/23)” are replaced by the words “(‘Official Gazette of RS’, </w:t>
      </w:r>
      <w:r w:rsidR="00E93BAD">
        <w:t>nos</w:t>
      </w:r>
      <w:r>
        <w:t xml:space="preserve"> 9/18, 56/18, 12/19, 3/21, 54/21, 117/21, 112/22, 46/23, 115/23 and 10/25).”</w:t>
      </w:r>
    </w:p>
    <w:p w:rsidR="00497F58" w:rsidRDefault="00D0529E" w:rsidP="00241BDC">
      <w:pPr>
        <w:spacing w:after="0"/>
        <w:ind w:firstLine="360"/>
        <w:jc w:val="both"/>
      </w:pPr>
      <w:r>
        <w:t>Point 5) is amended to read as follows:</w:t>
      </w:r>
    </w:p>
    <w:p w:rsidR="00497F58" w:rsidRDefault="00D0529E" w:rsidP="00241BDC">
      <w:pPr>
        <w:spacing w:after="0" w:line="240" w:lineRule="auto"/>
        <w:ind w:firstLine="360"/>
        <w:jc w:val="both"/>
      </w:pPr>
      <w:r>
        <w:t xml:space="preserve">“5) Commission Regulation (EU) No 1321/2014 means Commission Regulation (EU) No 1321/2014 of 26 November 2014 on the continuing airworthiness of aircraft and aeronautical products, parts and appliances, and on the approval of organisations and personnel involved in these tasks. This Regulation is implemented in the Republic of Serbia through the Regulation on the continuing airworthiness and the approval of maintenance organisations and personnel (‘Official Gazette of RS’, </w:t>
      </w:r>
      <w:r w:rsidR="00E93BAD">
        <w:t>nos</w:t>
      </w:r>
      <w:r>
        <w:t xml:space="preserve"> 83/24 and 49/25).”</w:t>
      </w:r>
    </w:p>
    <w:p w:rsidR="0045354A" w:rsidRDefault="00D0529E" w:rsidP="00241BDC">
      <w:pPr>
        <w:spacing w:after="0" w:line="240" w:lineRule="auto"/>
        <w:ind w:firstLine="360"/>
        <w:jc w:val="both"/>
      </w:pPr>
      <w:r>
        <w:t xml:space="preserve">In point 7), the words “(‘Official Gazette of RS’, </w:t>
      </w:r>
      <w:r w:rsidR="00E93BAD">
        <w:t xml:space="preserve">nos </w:t>
      </w:r>
      <w:r>
        <w:t>142/20 and 130/22)” are replaced by the words “(‘Official Gazette of RS’, Nos. 142/20, 130/22 and 52/24).”</w:t>
      </w:r>
    </w:p>
    <w:p w:rsidR="00241BDC" w:rsidRDefault="00241BDC" w:rsidP="00E93BAD">
      <w:pPr>
        <w:spacing w:after="0"/>
        <w:jc w:val="center"/>
        <w:rPr>
          <w:b/>
        </w:rPr>
      </w:pPr>
    </w:p>
    <w:p w:rsidR="00497F58" w:rsidRDefault="00D0529E" w:rsidP="00241BDC">
      <w:pPr>
        <w:spacing w:after="0"/>
        <w:jc w:val="center"/>
      </w:pPr>
      <w:r>
        <w:rPr>
          <w:b/>
        </w:rPr>
        <w:t>Article 4</w:t>
      </w:r>
    </w:p>
    <w:p w:rsidR="00497F58" w:rsidRDefault="00D0529E" w:rsidP="00241BDC">
      <w:pPr>
        <w:spacing w:after="0"/>
        <w:ind w:firstLine="360"/>
        <w:jc w:val="both"/>
      </w:pPr>
      <w:r>
        <w:t>Article 4 is amended to read as follows:</w:t>
      </w:r>
    </w:p>
    <w:p w:rsidR="00497F58" w:rsidRDefault="00357F3E" w:rsidP="00241BDC">
      <w:pPr>
        <w:spacing w:after="0"/>
        <w:ind w:firstLine="360"/>
        <w:jc w:val="both"/>
      </w:pPr>
      <w:r>
        <w:t>“</w:t>
      </w:r>
      <w:r w:rsidR="00D0529E">
        <w:t xml:space="preserve">For the performance of commercial air transport operations, specialised aviation activities against remuneration, as well as non-commercial operations with a balloon, the balloon operator must comply with the conditions applicable to the type of operation conducted, as laid down in Commission Regulation (EU) 2018/395, given in </w:t>
      </w:r>
      <w:r>
        <w:t>Addendum</w:t>
      </w:r>
      <w:r w:rsidR="00D0529E">
        <w:t xml:space="preserve"> 1 to this Regulation.</w:t>
      </w:r>
    </w:p>
    <w:p w:rsidR="00497F58" w:rsidRDefault="00497F58" w:rsidP="00241BDC">
      <w:pPr>
        <w:spacing w:after="0"/>
        <w:ind w:firstLine="360"/>
        <w:jc w:val="both"/>
      </w:pPr>
      <w:r>
        <w:t>Notwithstanding</w:t>
      </w:r>
      <w:r w:rsidR="00D0529E">
        <w:t xml:space="preserve"> paragraph 1 of this Article, holders of a balloon pilot licence who have reached the age of 65 shall not act as pilots in commercial air transport of passengers </w:t>
      </w:r>
      <w:r w:rsidR="00357F3E">
        <w:t>with</w:t>
      </w:r>
      <w:r w:rsidR="00D0529E">
        <w:t xml:space="preserve"> balloon.</w:t>
      </w:r>
    </w:p>
    <w:p w:rsidR="00497F58" w:rsidRDefault="00D0529E" w:rsidP="00241BDC">
      <w:pPr>
        <w:spacing w:after="0" w:line="240" w:lineRule="auto"/>
        <w:ind w:firstLine="360"/>
        <w:jc w:val="both"/>
      </w:pPr>
      <w:r>
        <w:t xml:space="preserve">Balloon operators engaged in commercial air transport or specialised activities </w:t>
      </w:r>
      <w:r w:rsidR="00357F3E">
        <w:t>for</w:t>
      </w:r>
      <w:r>
        <w:t xml:space="preserve"> remuneration shall, prior to commencing such operations, submit to the Directorate a declaration of capability to conduct the intended activity, and conduct such activity in compliance with the provisions of this Regulation and the submitted declaration.</w:t>
      </w:r>
    </w:p>
    <w:p w:rsidR="00497F58" w:rsidRDefault="00D0529E" w:rsidP="00241BDC">
      <w:pPr>
        <w:spacing w:after="0" w:line="240" w:lineRule="auto"/>
        <w:ind w:firstLine="360"/>
        <w:jc w:val="both"/>
      </w:pPr>
      <w:r>
        <w:t xml:space="preserve">Until the </w:t>
      </w:r>
      <w:r w:rsidR="00357F3E">
        <w:t xml:space="preserve">accession of the </w:t>
      </w:r>
      <w:r>
        <w:t xml:space="preserve">Republic of Serbia to the European Union, or until the conditions prescribed for the second transitional period under the ECAA Agreement are fulfilled, whichever occurs earlier, balloon operators shall submit the declaration in the form set out in point 11 of </w:t>
      </w:r>
      <w:r w:rsidR="00357F3E">
        <w:t>Addendum</w:t>
      </w:r>
      <w:r>
        <w:t xml:space="preserve"> 2 to this Regulation.</w:t>
      </w:r>
    </w:p>
    <w:p w:rsidR="00497F58" w:rsidRDefault="00B75BE8" w:rsidP="00241BDC">
      <w:pPr>
        <w:spacing w:after="0" w:line="240" w:lineRule="auto"/>
        <w:ind w:firstLine="360"/>
        <w:jc w:val="both"/>
      </w:pPr>
      <w:r>
        <w:t>In addition to</w:t>
      </w:r>
      <w:r w:rsidR="00D0529E">
        <w:t xml:space="preserve"> the declaration referred to in paragraph 3 of this Article, balloon operators shall provide an Aircraft Flight Manual (AFM) or an equivalent document, and, at the request of the Directorate, other documentation relevant for the safe conduct of operations.</w:t>
      </w:r>
    </w:p>
    <w:p w:rsidR="00497F58" w:rsidRDefault="00D0529E" w:rsidP="00241BDC">
      <w:pPr>
        <w:spacing w:after="0" w:line="240" w:lineRule="auto"/>
        <w:ind w:firstLine="360"/>
        <w:jc w:val="both"/>
      </w:pPr>
      <w:r>
        <w:t>If the Directorate establishes that the declaration and submitted documentation contain all required information, it shall issue a confirmation of acceptance of the declaration.</w:t>
      </w:r>
    </w:p>
    <w:p w:rsidR="00497F58" w:rsidRDefault="00D0529E" w:rsidP="00241BDC">
      <w:pPr>
        <w:spacing w:after="0" w:line="240" w:lineRule="auto"/>
        <w:ind w:firstLine="360"/>
        <w:jc w:val="both"/>
      </w:pPr>
      <w:r>
        <w:t xml:space="preserve">Where a balloon operator referred to in paragraph 1 of this Article conducts operations contrary to the provisions of this Regulation or to the submitted declaration, the aviation </w:t>
      </w:r>
      <w:r>
        <w:lastRenderedPageBreak/>
        <w:t>inspector of the Directorate shall, depending on the outcome of the inspection oversight and the severity of the identified non-compliance, undertake one of the following measures:</w:t>
      </w:r>
    </w:p>
    <w:p w:rsidR="00F23D22" w:rsidRDefault="00D0529E" w:rsidP="00241BDC">
      <w:pPr>
        <w:spacing w:after="0" w:line="240" w:lineRule="auto"/>
        <w:ind w:firstLine="360"/>
        <w:jc w:val="both"/>
      </w:pPr>
      <w:r>
        <w:t>1) require the balloon operator to re</w:t>
      </w:r>
      <w:r w:rsidR="00681425">
        <w:t>ctify</w:t>
      </w:r>
      <w:r>
        <w:t xml:space="preserve"> the identified non-compliance within a specified time limit</w:t>
      </w:r>
      <w:r w:rsidR="00497F58">
        <w:t>;</w:t>
      </w:r>
    </w:p>
    <w:p w:rsidR="00F23D22" w:rsidRDefault="00D0529E" w:rsidP="00241BDC">
      <w:pPr>
        <w:spacing w:after="0" w:line="240" w:lineRule="auto"/>
        <w:ind w:firstLine="360"/>
        <w:jc w:val="both"/>
      </w:pPr>
      <w:r>
        <w:t>2) issue a decision temporarily prohibiting the conduct of operations until the identified non-compliance is rectified, or issue a decision imposing other prohibitions or restrictions in accordance with the law;</w:t>
      </w:r>
    </w:p>
    <w:p w:rsidR="00F23D22" w:rsidRDefault="00D0529E" w:rsidP="00241BDC">
      <w:pPr>
        <w:spacing w:after="0" w:line="240" w:lineRule="auto"/>
        <w:ind w:firstLine="360"/>
        <w:jc w:val="both"/>
      </w:pPr>
      <w:r>
        <w:t>3) propose to the Director of the Directorate the suspension or revocation of the confirmation of acceptance of the operator’s declaration.</w:t>
      </w:r>
    </w:p>
    <w:p w:rsidR="00F23D22" w:rsidRDefault="00D0529E" w:rsidP="00241BDC">
      <w:pPr>
        <w:spacing w:after="0" w:line="240" w:lineRule="auto"/>
        <w:ind w:firstLine="360"/>
        <w:jc w:val="both"/>
      </w:pPr>
      <w:r>
        <w:t>With regard to the conditions for granting prior consent for the conclusion of a lease agreement for a balloon, in addition to the provisions of the Air Transport Law, the relevant provisions regulating the performance of air transport operations by aeroplanes and helicopters shall apply accordingly.</w:t>
      </w:r>
    </w:p>
    <w:p w:rsidR="00F23D22" w:rsidRDefault="00D0529E" w:rsidP="00241BDC">
      <w:pPr>
        <w:spacing w:after="0" w:line="240" w:lineRule="auto"/>
        <w:ind w:firstLine="360"/>
        <w:jc w:val="both"/>
      </w:pPr>
      <w:r>
        <w:t>With regard to flight time, flight duty periods, rest and days off for balloon flight crew members, the provisions regulating the organisation of working time of civil aviation flight crew members shall apply.</w:t>
      </w:r>
    </w:p>
    <w:p w:rsidR="00F23D22" w:rsidRDefault="00D0529E" w:rsidP="00241BDC">
      <w:pPr>
        <w:spacing w:after="0" w:line="240" w:lineRule="auto"/>
        <w:ind w:firstLine="360"/>
        <w:jc w:val="both"/>
      </w:pPr>
      <w:r>
        <w:t>The number and composition of balloon crew members shall be determined by the type certificate and the AFM, or by an equivalent document.</w:t>
      </w:r>
    </w:p>
    <w:p w:rsidR="0045354A" w:rsidRDefault="00D0529E" w:rsidP="00241BDC">
      <w:pPr>
        <w:spacing w:after="0" w:line="240" w:lineRule="auto"/>
        <w:ind w:firstLine="360"/>
        <w:jc w:val="both"/>
      </w:pPr>
      <w:r>
        <w:t xml:space="preserve">The maximum reward referred to in Article 3, paragraph 2, subparagraph 2, point (b) of </w:t>
      </w:r>
      <w:r w:rsidR="00E93BAD">
        <w:t>Addendum</w:t>
      </w:r>
      <w:r>
        <w:t xml:space="preserve"> 1 to this Regulation may amount to up to EUR 5,000 in dinar equivalent.”</w:t>
      </w:r>
    </w:p>
    <w:p w:rsidR="0045354A" w:rsidRDefault="0045354A" w:rsidP="00197209">
      <w:pPr>
        <w:spacing w:after="0"/>
      </w:pPr>
    </w:p>
    <w:p w:rsidR="00F23D22" w:rsidRDefault="00D0529E" w:rsidP="00D80CCE">
      <w:pPr>
        <w:spacing w:after="0" w:line="240" w:lineRule="auto"/>
        <w:jc w:val="center"/>
      </w:pPr>
      <w:r>
        <w:rPr>
          <w:b/>
        </w:rPr>
        <w:t>Article 5</w:t>
      </w:r>
    </w:p>
    <w:p w:rsidR="00F23D22" w:rsidRDefault="00D0529E" w:rsidP="00241BDC">
      <w:pPr>
        <w:spacing w:after="0" w:line="240" w:lineRule="auto"/>
        <w:ind w:firstLine="360"/>
        <w:jc w:val="both"/>
      </w:pPr>
      <w:r>
        <w:t xml:space="preserve">In </w:t>
      </w:r>
      <w:r w:rsidR="00E93BAD">
        <w:t>Addendum</w:t>
      </w:r>
      <w:r>
        <w:t xml:space="preserve"> 2 (</w:t>
      </w:r>
      <w:r w:rsidR="00241BDC">
        <w:t>Additional</w:t>
      </w:r>
      <w:r>
        <w:t xml:space="preserve"> conditions for the application of Commission Regulation (EU) 2018/395 in the Republic of Serbia), after point 10, a new point 11 is added, reading as follows:</w:t>
      </w:r>
    </w:p>
    <w:p w:rsidR="00F23D22" w:rsidRDefault="00D0529E" w:rsidP="00241BDC">
      <w:pPr>
        <w:spacing w:after="0" w:line="240" w:lineRule="auto"/>
        <w:ind w:firstLine="360"/>
        <w:jc w:val="both"/>
      </w:pPr>
      <w:r>
        <w:t>“</w:t>
      </w:r>
      <w:r w:rsidRPr="00C11406">
        <w:rPr>
          <w:b/>
        </w:rPr>
        <w:t xml:space="preserve">11. </w:t>
      </w:r>
      <w:r w:rsidR="00241BDC" w:rsidRPr="00C11406">
        <w:rPr>
          <w:b/>
        </w:rPr>
        <w:t xml:space="preserve">Additional </w:t>
      </w:r>
      <w:r w:rsidRPr="00C11406">
        <w:rPr>
          <w:b/>
        </w:rPr>
        <w:t>condition for the application of Article 3, paragraph 2, point BOP.ADD.100 (Declaration), as well as the Appendix to Annex II of Commission Regulation (EU) 2018/395</w:t>
      </w:r>
    </w:p>
    <w:p w:rsidR="00F23D22" w:rsidRDefault="00D0529E" w:rsidP="00241BDC">
      <w:pPr>
        <w:spacing w:after="0" w:line="240" w:lineRule="auto"/>
        <w:ind w:firstLine="360"/>
        <w:jc w:val="both"/>
      </w:pPr>
      <w:r>
        <w:t xml:space="preserve">Until the </w:t>
      </w:r>
      <w:r w:rsidR="00C11406">
        <w:t>accession</w:t>
      </w:r>
      <w:r w:rsidR="0088211D">
        <w:t xml:space="preserve"> of the </w:t>
      </w:r>
      <w:r>
        <w:t>Republic of Serbia to the European Union, or until the conditions prescribed for the second transitional period under the ECAA Agreement are fulfilled, whichever occurs earlier, balloon operators shall submit the declaration in the following form:</w:t>
      </w:r>
    </w:p>
    <w:p w:rsidR="00E93BAD" w:rsidRDefault="00E93BAD" w:rsidP="00241BDC">
      <w:pPr>
        <w:spacing w:after="0" w:line="240" w:lineRule="auto"/>
        <w:ind w:firstLine="360"/>
        <w:jc w:val="both"/>
      </w:pPr>
    </w:p>
    <w:p w:rsidR="00E93BAD" w:rsidRDefault="00E93BAD" w:rsidP="00241BDC">
      <w:pPr>
        <w:spacing w:after="0" w:line="240" w:lineRule="auto"/>
        <w:ind w:firstLine="360"/>
        <w:jc w:val="both"/>
      </w:pPr>
    </w:p>
    <w:p w:rsidR="00C11406" w:rsidRDefault="00C11406" w:rsidP="00241BDC">
      <w:pPr>
        <w:spacing w:after="0" w:line="240" w:lineRule="auto"/>
        <w:ind w:firstLine="360"/>
        <w:jc w:val="both"/>
      </w:pPr>
    </w:p>
    <w:p w:rsidR="00C11406" w:rsidRDefault="00C11406" w:rsidP="00241BDC">
      <w:pPr>
        <w:spacing w:after="0" w:line="240" w:lineRule="auto"/>
        <w:ind w:firstLine="360"/>
        <w:jc w:val="both"/>
      </w:pPr>
    </w:p>
    <w:p w:rsidR="00E93BAD" w:rsidRDefault="00E93BAD" w:rsidP="00241BDC">
      <w:pPr>
        <w:spacing w:after="0" w:line="240" w:lineRule="auto"/>
        <w:ind w:firstLine="360"/>
        <w:jc w:val="both"/>
      </w:pPr>
    </w:p>
    <w:p w:rsidR="00E93BAD" w:rsidRDefault="00E93BAD" w:rsidP="00241BDC">
      <w:pPr>
        <w:spacing w:after="0" w:line="240" w:lineRule="auto"/>
        <w:ind w:firstLine="360"/>
        <w:jc w:val="both"/>
      </w:pPr>
    </w:p>
    <w:p w:rsidR="00E93BAD" w:rsidRDefault="00E93BAD" w:rsidP="00241BDC">
      <w:pPr>
        <w:spacing w:after="0" w:line="240" w:lineRule="auto"/>
        <w:ind w:firstLine="360"/>
        <w:jc w:val="both"/>
      </w:pPr>
    </w:p>
    <w:p w:rsidR="00E93BAD" w:rsidRDefault="00E93BAD" w:rsidP="00241BDC">
      <w:pPr>
        <w:spacing w:after="0" w:line="240" w:lineRule="auto"/>
        <w:ind w:firstLine="360"/>
        <w:jc w:val="both"/>
      </w:pPr>
    </w:p>
    <w:p w:rsidR="00E93BAD" w:rsidRDefault="00E93BAD" w:rsidP="00241BDC">
      <w:pPr>
        <w:spacing w:after="0" w:line="240" w:lineRule="auto"/>
        <w:ind w:firstLine="360"/>
        <w:jc w:val="both"/>
      </w:pPr>
    </w:p>
    <w:p w:rsidR="00E93BAD" w:rsidRDefault="00E93BAD" w:rsidP="00241BDC">
      <w:pPr>
        <w:spacing w:after="0" w:line="240" w:lineRule="auto"/>
        <w:ind w:firstLine="360"/>
        <w:jc w:val="both"/>
      </w:pPr>
    </w:p>
    <w:p w:rsidR="00290742" w:rsidRDefault="00290742" w:rsidP="00241BDC">
      <w:pPr>
        <w:spacing w:after="0" w:line="240" w:lineRule="auto"/>
        <w:ind w:firstLine="360"/>
        <w:jc w:val="both"/>
      </w:pPr>
    </w:p>
    <w:p w:rsidR="00290742" w:rsidRDefault="00290742" w:rsidP="00241BDC">
      <w:pPr>
        <w:spacing w:after="0" w:line="240" w:lineRule="auto"/>
        <w:ind w:firstLine="360"/>
        <w:jc w:val="both"/>
      </w:pPr>
    </w:p>
    <w:p w:rsidR="00290742" w:rsidRDefault="00290742" w:rsidP="00241BDC">
      <w:pPr>
        <w:spacing w:after="0" w:line="240" w:lineRule="auto"/>
        <w:ind w:firstLine="360"/>
        <w:jc w:val="both"/>
      </w:pPr>
    </w:p>
    <w:p w:rsidR="0045354A" w:rsidRDefault="0045354A" w:rsidP="00D80CCE">
      <w:pPr>
        <w:spacing w:after="0" w:line="240" w:lineRule="auto"/>
      </w:pPr>
    </w:p>
    <w:tbl>
      <w:tblPr>
        <w:tblStyle w:val="TableGrid1"/>
        <w:tblW w:w="0" w:type="auto"/>
        <w:tblLook w:val="04A0" w:firstRow="1" w:lastRow="0" w:firstColumn="1" w:lastColumn="0" w:noHBand="0" w:noVBand="1"/>
      </w:tblPr>
      <w:tblGrid>
        <w:gridCol w:w="1671"/>
        <w:gridCol w:w="1781"/>
        <w:gridCol w:w="1679"/>
        <w:gridCol w:w="1686"/>
        <w:gridCol w:w="1813"/>
      </w:tblGrid>
      <w:tr w:rsidR="00E93BAD" w:rsidRPr="00E93BAD" w:rsidTr="00B4296D">
        <w:tc>
          <w:tcPr>
            <w:tcW w:w="9350" w:type="dxa"/>
            <w:gridSpan w:val="5"/>
          </w:tcPr>
          <w:p w:rsidR="00E93BAD" w:rsidRPr="00E93BAD" w:rsidRDefault="00E93BAD" w:rsidP="00E93BAD">
            <w:pPr>
              <w:jc w:val="center"/>
              <w:rPr>
                <w:rFonts w:cs="Times New Roman"/>
                <w:b/>
                <w:sz w:val="20"/>
                <w:szCs w:val="20"/>
              </w:rPr>
            </w:pPr>
            <w:r w:rsidRPr="00E93BAD">
              <w:rPr>
                <w:rFonts w:cs="Times New Roman"/>
                <w:b/>
                <w:sz w:val="20"/>
                <w:szCs w:val="20"/>
                <w:lang w:val="sr-Cyrl-RS"/>
              </w:rPr>
              <w:lastRenderedPageBreak/>
              <w:t>ИЗЈАВА</w:t>
            </w:r>
          </w:p>
          <w:p w:rsidR="00E93BAD" w:rsidRPr="00E93BAD" w:rsidRDefault="00E93BAD" w:rsidP="00E93BAD">
            <w:pPr>
              <w:jc w:val="center"/>
              <w:rPr>
                <w:rFonts w:cs="Times New Roman"/>
                <w:b/>
                <w:i/>
                <w:sz w:val="18"/>
                <w:szCs w:val="18"/>
              </w:rPr>
            </w:pPr>
            <w:r w:rsidRPr="00E93BAD">
              <w:rPr>
                <w:rFonts w:cs="Times New Roman"/>
                <w:b/>
                <w:i/>
                <w:sz w:val="18"/>
                <w:szCs w:val="18"/>
              </w:rPr>
              <w:t>DECLARATION</w:t>
            </w:r>
          </w:p>
          <w:p w:rsidR="00E93BAD" w:rsidRPr="00E93BAD" w:rsidRDefault="00E93BAD" w:rsidP="00E93BAD">
            <w:pPr>
              <w:rPr>
                <w:rFonts w:cs="Times New Roman"/>
                <w:b/>
                <w:sz w:val="20"/>
                <w:szCs w:val="20"/>
                <w:lang w:val="sr-Cyrl-RS"/>
              </w:rPr>
            </w:pPr>
          </w:p>
          <w:p w:rsidR="00E93BAD" w:rsidRPr="00E93BAD" w:rsidRDefault="00E93BAD" w:rsidP="00E93BAD">
            <w:pPr>
              <w:jc w:val="center"/>
              <w:rPr>
                <w:rFonts w:cs="Times New Roman"/>
                <w:b/>
                <w:sz w:val="20"/>
                <w:szCs w:val="20"/>
                <w:lang w:val="sr-Cyrl-RS"/>
              </w:rPr>
            </w:pPr>
            <w:r w:rsidRPr="00E93BAD">
              <w:rPr>
                <w:rFonts w:cs="Times New Roman"/>
                <w:b/>
                <w:sz w:val="20"/>
                <w:szCs w:val="20"/>
                <w:lang w:val="sr-Cyrl-RS"/>
              </w:rPr>
              <w:t>у складу са Законом о ваздушном саобраћају и Правилником о обављању ваздушног саобраћаја балонима, којим је у Републици Србији имплементирана Уредба Комисије (ЕУ) 2018/395</w:t>
            </w:r>
          </w:p>
          <w:p w:rsidR="00E93BAD" w:rsidRPr="00E93BAD" w:rsidRDefault="00E93BAD" w:rsidP="00E93BAD">
            <w:pPr>
              <w:jc w:val="center"/>
              <w:rPr>
                <w:rFonts w:cs="Times New Roman"/>
                <w:i/>
                <w:sz w:val="18"/>
                <w:szCs w:val="18"/>
              </w:rPr>
            </w:pPr>
            <w:r w:rsidRPr="00E93BAD">
              <w:rPr>
                <w:rFonts w:cs="Times New Roman"/>
                <w:i/>
                <w:sz w:val="18"/>
                <w:szCs w:val="18"/>
              </w:rPr>
              <w:t>in accordance with the Air Transport Law and Regulation on performing air operations with balloons by which the Commission Regulation (EU) 2018/395 has been implemented in the Republic of Serbia</w:t>
            </w:r>
          </w:p>
        </w:tc>
      </w:tr>
      <w:tr w:rsidR="00E93BAD" w:rsidRPr="00E93BAD" w:rsidTr="00B4296D">
        <w:tc>
          <w:tcPr>
            <w:tcW w:w="9350" w:type="dxa"/>
            <w:gridSpan w:val="5"/>
          </w:tcPr>
          <w:p w:rsidR="00E93BAD" w:rsidRPr="00E93BAD" w:rsidRDefault="00E93BAD" w:rsidP="00E93BAD">
            <w:pPr>
              <w:jc w:val="both"/>
              <w:rPr>
                <w:rFonts w:cs="Times New Roman"/>
                <w:b/>
                <w:sz w:val="20"/>
                <w:szCs w:val="20"/>
                <w:lang w:val="sr-Cyrl-RS"/>
              </w:rPr>
            </w:pPr>
            <w:r w:rsidRPr="00E93BAD">
              <w:rPr>
                <w:rFonts w:cs="Times New Roman"/>
                <w:b/>
                <w:sz w:val="20"/>
                <w:szCs w:val="20"/>
                <w:lang w:val="sr-Cyrl-RS"/>
              </w:rPr>
              <w:t>Оператер</w:t>
            </w:r>
          </w:p>
          <w:p w:rsidR="00E93BAD" w:rsidRPr="00E93BAD" w:rsidRDefault="00E93BAD" w:rsidP="00E93BAD">
            <w:pPr>
              <w:jc w:val="both"/>
              <w:rPr>
                <w:rFonts w:cs="Times New Roman"/>
                <w:i/>
                <w:sz w:val="18"/>
                <w:szCs w:val="18"/>
              </w:rPr>
            </w:pPr>
            <w:r w:rsidRPr="00E93BAD">
              <w:rPr>
                <w:rFonts w:cs="Times New Roman"/>
                <w:i/>
                <w:sz w:val="18"/>
                <w:szCs w:val="18"/>
              </w:rPr>
              <w:t>Operator</w:t>
            </w:r>
          </w:p>
          <w:p w:rsidR="00E93BAD" w:rsidRPr="00E93BAD" w:rsidRDefault="00E93BAD" w:rsidP="00E93BAD">
            <w:pPr>
              <w:jc w:val="both"/>
              <w:rPr>
                <w:rFonts w:cs="Times New Roman"/>
                <w:szCs w:val="24"/>
                <w:lang w:val="sr-Cyrl-RS"/>
              </w:rPr>
            </w:pPr>
          </w:p>
          <w:p w:rsidR="00E93BAD" w:rsidRPr="00E93BAD" w:rsidRDefault="00E93BAD" w:rsidP="00E93BAD">
            <w:pPr>
              <w:jc w:val="both"/>
              <w:rPr>
                <w:rFonts w:cs="Times New Roman"/>
                <w:szCs w:val="24"/>
                <w:lang w:val="sr-Cyrl-RS"/>
              </w:rPr>
            </w:pPr>
          </w:p>
          <w:p w:rsidR="00E93BAD" w:rsidRPr="00E93BAD" w:rsidRDefault="00E93BAD" w:rsidP="00E93BAD">
            <w:pPr>
              <w:jc w:val="both"/>
              <w:rPr>
                <w:rFonts w:cs="Times New Roman"/>
                <w:b/>
                <w:sz w:val="20"/>
                <w:szCs w:val="20"/>
                <w:lang w:val="sr-Cyrl-RS"/>
              </w:rPr>
            </w:pPr>
            <w:r w:rsidRPr="00E93BAD">
              <w:rPr>
                <w:rFonts w:cs="Times New Roman"/>
                <w:b/>
                <w:sz w:val="20"/>
                <w:szCs w:val="20"/>
                <w:lang w:val="sr-Cyrl-RS"/>
              </w:rPr>
              <w:t xml:space="preserve">Назив: </w:t>
            </w:r>
          </w:p>
          <w:p w:rsidR="00E93BAD" w:rsidRPr="00E93BAD" w:rsidRDefault="00E93BAD" w:rsidP="00E93BAD">
            <w:pPr>
              <w:jc w:val="both"/>
              <w:rPr>
                <w:rFonts w:cs="Times New Roman"/>
                <w:i/>
                <w:sz w:val="18"/>
                <w:szCs w:val="18"/>
              </w:rPr>
            </w:pPr>
            <w:r w:rsidRPr="00E93BAD">
              <w:rPr>
                <w:rFonts w:cs="Times New Roman"/>
                <w:i/>
                <w:sz w:val="18"/>
                <w:szCs w:val="18"/>
              </w:rPr>
              <w:t>Name:</w:t>
            </w:r>
          </w:p>
          <w:p w:rsidR="00E93BAD" w:rsidRPr="00E93BAD" w:rsidRDefault="00E93BAD" w:rsidP="00E93BAD">
            <w:pPr>
              <w:jc w:val="both"/>
              <w:rPr>
                <w:rFonts w:cs="Times New Roman"/>
                <w:szCs w:val="24"/>
                <w:lang w:val="sr-Cyrl-RS"/>
              </w:rPr>
            </w:pPr>
          </w:p>
          <w:p w:rsidR="00E93BAD" w:rsidRPr="00E93BAD" w:rsidRDefault="00E93BAD" w:rsidP="00E93BAD">
            <w:pPr>
              <w:jc w:val="both"/>
              <w:rPr>
                <w:rFonts w:cs="Times New Roman"/>
                <w:szCs w:val="24"/>
                <w:lang w:val="sr-Cyrl-RS"/>
              </w:rPr>
            </w:pPr>
          </w:p>
          <w:p w:rsidR="00E93BAD" w:rsidRPr="00E93BAD" w:rsidRDefault="00E93BAD" w:rsidP="00E93BAD">
            <w:pPr>
              <w:jc w:val="both"/>
              <w:rPr>
                <w:rFonts w:cs="Times New Roman"/>
                <w:b/>
                <w:sz w:val="20"/>
                <w:szCs w:val="20"/>
                <w:lang w:val="sr-Cyrl-RS"/>
              </w:rPr>
            </w:pPr>
            <w:r w:rsidRPr="00E93BAD">
              <w:rPr>
                <w:rFonts w:cs="Times New Roman"/>
                <w:b/>
                <w:sz w:val="20"/>
                <w:szCs w:val="20"/>
                <w:lang w:val="sr-Cyrl-RS"/>
              </w:rPr>
              <w:t>Главно место пословања оператера:</w:t>
            </w:r>
          </w:p>
          <w:p w:rsidR="00E93BAD" w:rsidRPr="00E93BAD" w:rsidRDefault="00E93BAD" w:rsidP="00E93BAD">
            <w:pPr>
              <w:jc w:val="both"/>
              <w:rPr>
                <w:rFonts w:cs="Times New Roman"/>
                <w:i/>
                <w:sz w:val="18"/>
                <w:szCs w:val="18"/>
              </w:rPr>
            </w:pPr>
            <w:r w:rsidRPr="00E93BAD">
              <w:rPr>
                <w:rFonts w:cs="Times New Roman"/>
                <w:i/>
                <w:sz w:val="18"/>
                <w:szCs w:val="18"/>
              </w:rPr>
              <w:t xml:space="preserve">Place where the operator has its principal place of business: </w:t>
            </w:r>
          </w:p>
          <w:p w:rsidR="00E93BAD" w:rsidRPr="00E93BAD" w:rsidRDefault="00E93BAD" w:rsidP="00E93BAD">
            <w:pPr>
              <w:jc w:val="both"/>
              <w:rPr>
                <w:rFonts w:cs="Times New Roman"/>
                <w:szCs w:val="24"/>
                <w:lang w:val="sr-Cyrl-RS"/>
              </w:rPr>
            </w:pPr>
          </w:p>
          <w:p w:rsidR="00E93BAD" w:rsidRPr="00E93BAD" w:rsidRDefault="00E93BAD" w:rsidP="00E93BAD">
            <w:pPr>
              <w:jc w:val="both"/>
              <w:rPr>
                <w:rFonts w:cs="Times New Roman"/>
                <w:szCs w:val="24"/>
                <w:lang w:val="sr-Cyrl-RS"/>
              </w:rPr>
            </w:pPr>
            <w:r w:rsidRPr="00E93BAD">
              <w:rPr>
                <w:rFonts w:cs="Times New Roman"/>
                <w:b/>
                <w:sz w:val="20"/>
                <w:szCs w:val="20"/>
                <w:lang w:val="sr-Cyrl-RS"/>
              </w:rPr>
              <w:t>Име и презиме и подаци за контакт одговорног руководиоца:</w:t>
            </w:r>
          </w:p>
          <w:p w:rsidR="00E93BAD" w:rsidRPr="00E93BAD" w:rsidRDefault="00E93BAD" w:rsidP="00E93BAD">
            <w:pPr>
              <w:jc w:val="both"/>
              <w:rPr>
                <w:rFonts w:cs="Times New Roman"/>
                <w:i/>
                <w:sz w:val="18"/>
                <w:szCs w:val="18"/>
                <w:lang w:val="sr-Cyrl-RS"/>
              </w:rPr>
            </w:pPr>
            <w:r w:rsidRPr="00E93BAD">
              <w:rPr>
                <w:rFonts w:cs="Times New Roman"/>
                <w:i/>
                <w:sz w:val="18"/>
                <w:szCs w:val="18"/>
              </w:rPr>
              <w:t xml:space="preserve">Name and contact details of the accountable manager: </w:t>
            </w:r>
          </w:p>
          <w:p w:rsidR="00E93BAD" w:rsidRPr="00E93BAD" w:rsidRDefault="00E93BAD" w:rsidP="00E93BAD">
            <w:pPr>
              <w:jc w:val="both"/>
              <w:rPr>
                <w:rFonts w:cs="Times New Roman"/>
                <w:szCs w:val="24"/>
                <w:lang w:val="sr-Cyrl-RS"/>
              </w:rPr>
            </w:pPr>
            <w:r w:rsidRPr="00E93BAD">
              <w:rPr>
                <w:rFonts w:cs="Times New Roman"/>
                <w:szCs w:val="24"/>
                <w:lang w:val="sr-Cyrl-RS"/>
              </w:rPr>
              <w:t xml:space="preserve"> </w:t>
            </w:r>
          </w:p>
        </w:tc>
      </w:tr>
      <w:tr w:rsidR="00E93BAD" w:rsidRPr="00E93BAD" w:rsidTr="00B4296D">
        <w:tc>
          <w:tcPr>
            <w:tcW w:w="9350" w:type="dxa"/>
            <w:gridSpan w:val="5"/>
          </w:tcPr>
          <w:p w:rsidR="00E93BAD" w:rsidRPr="00E93BAD" w:rsidRDefault="00E93BAD" w:rsidP="00E93BAD">
            <w:pPr>
              <w:jc w:val="both"/>
              <w:rPr>
                <w:rFonts w:cs="Times New Roman"/>
                <w:b/>
                <w:sz w:val="20"/>
                <w:szCs w:val="20"/>
                <w:lang w:val="sr-Cyrl-RS"/>
              </w:rPr>
            </w:pPr>
            <w:r w:rsidRPr="00E93BAD">
              <w:rPr>
                <w:rFonts w:cs="Times New Roman"/>
                <w:b/>
                <w:sz w:val="20"/>
                <w:szCs w:val="20"/>
                <w:lang w:val="sr-Cyrl-RS"/>
              </w:rPr>
              <w:t>Летење балоном</w:t>
            </w:r>
          </w:p>
          <w:p w:rsidR="00E93BAD" w:rsidRPr="00E93BAD" w:rsidRDefault="00E93BAD" w:rsidP="00E93BAD">
            <w:pPr>
              <w:jc w:val="both"/>
              <w:rPr>
                <w:rFonts w:cs="Times New Roman"/>
                <w:i/>
                <w:sz w:val="18"/>
                <w:szCs w:val="18"/>
              </w:rPr>
            </w:pPr>
            <w:r w:rsidRPr="00E93BAD">
              <w:rPr>
                <w:rFonts w:cs="Times New Roman"/>
                <w:i/>
                <w:sz w:val="18"/>
                <w:szCs w:val="18"/>
              </w:rPr>
              <w:t>Balloon operation</w:t>
            </w:r>
          </w:p>
        </w:tc>
      </w:tr>
      <w:tr w:rsidR="00E93BAD" w:rsidRPr="00E93BAD" w:rsidTr="00B4296D">
        <w:tc>
          <w:tcPr>
            <w:tcW w:w="9350" w:type="dxa"/>
            <w:gridSpan w:val="5"/>
          </w:tcPr>
          <w:p w:rsidR="00E93BAD" w:rsidRPr="00E93BAD" w:rsidRDefault="00E93BAD" w:rsidP="00E93BAD">
            <w:pPr>
              <w:jc w:val="both"/>
              <w:rPr>
                <w:rFonts w:cs="Times New Roman"/>
                <w:b/>
                <w:sz w:val="20"/>
                <w:szCs w:val="20"/>
                <w:lang w:val="sr-Cyrl-RS"/>
              </w:rPr>
            </w:pPr>
            <w:r w:rsidRPr="00E93BAD">
              <w:rPr>
                <w:rFonts w:cs="Times New Roman"/>
                <w:b/>
                <w:sz w:val="20"/>
                <w:szCs w:val="20"/>
                <w:lang w:val="sr-Cyrl-RS"/>
              </w:rPr>
              <w:t xml:space="preserve">Датум почетка комерцијалног летења и, кад је потребно, датум измене постојећег комерцијалног летења: </w:t>
            </w:r>
          </w:p>
          <w:p w:rsidR="00E93BAD" w:rsidRPr="00E93BAD" w:rsidRDefault="00E93BAD" w:rsidP="00E93BAD">
            <w:pPr>
              <w:jc w:val="both"/>
              <w:rPr>
                <w:rFonts w:cs="Times New Roman"/>
                <w:i/>
                <w:sz w:val="18"/>
                <w:szCs w:val="18"/>
              </w:rPr>
            </w:pPr>
            <w:r w:rsidRPr="00E93BAD">
              <w:rPr>
                <w:rFonts w:cs="Times New Roman"/>
                <w:i/>
                <w:sz w:val="18"/>
                <w:szCs w:val="18"/>
              </w:rPr>
              <w:t xml:space="preserve">Starting date of commercial operation and, where relevant, date of change to existing commercial operation: </w:t>
            </w:r>
          </w:p>
        </w:tc>
      </w:tr>
      <w:tr w:rsidR="00E93BAD" w:rsidRPr="00E93BAD" w:rsidTr="00B4296D">
        <w:tc>
          <w:tcPr>
            <w:tcW w:w="9350" w:type="dxa"/>
            <w:gridSpan w:val="5"/>
          </w:tcPr>
          <w:p w:rsidR="00E93BAD" w:rsidRPr="00E93BAD" w:rsidRDefault="00E93BAD" w:rsidP="00E93BAD">
            <w:pPr>
              <w:jc w:val="both"/>
              <w:rPr>
                <w:rFonts w:cs="Times New Roman"/>
                <w:b/>
                <w:sz w:val="20"/>
                <w:szCs w:val="20"/>
                <w:lang w:val="sr-Cyrl-RS"/>
              </w:rPr>
            </w:pPr>
            <w:r w:rsidRPr="00E93BAD">
              <w:rPr>
                <w:rFonts w:cs="Times New Roman"/>
                <w:b/>
                <w:sz w:val="20"/>
                <w:szCs w:val="20"/>
                <w:lang w:val="sr-Cyrl-RS"/>
              </w:rPr>
              <w:t xml:space="preserve">Подаци о балонима који се користе, комерцијалном летењу и обезбеђивању континуиране пловидбености </w:t>
            </w:r>
            <w:r w:rsidRPr="00E93BAD">
              <w:rPr>
                <w:rFonts w:cs="Times New Roman"/>
                <w:b/>
                <w:sz w:val="20"/>
                <w:szCs w:val="20"/>
                <w:vertAlign w:val="superscript"/>
                <w:lang w:val="sr-Cyrl-RS"/>
              </w:rPr>
              <w:t>(1)</w:t>
            </w:r>
            <w:r w:rsidRPr="00E93BAD">
              <w:rPr>
                <w:rFonts w:cs="Times New Roman"/>
                <w:b/>
                <w:sz w:val="20"/>
                <w:szCs w:val="20"/>
                <w:lang w:val="sr-Cyrl-RS"/>
              </w:rPr>
              <w:t xml:space="preserve">: </w:t>
            </w:r>
          </w:p>
          <w:p w:rsidR="00E93BAD" w:rsidRPr="00E93BAD" w:rsidRDefault="00E93BAD" w:rsidP="00E93BAD">
            <w:pPr>
              <w:jc w:val="both"/>
              <w:rPr>
                <w:rFonts w:cs="Times New Roman"/>
                <w:i/>
                <w:sz w:val="18"/>
                <w:szCs w:val="18"/>
              </w:rPr>
            </w:pPr>
            <w:r w:rsidRPr="00E93BAD">
              <w:rPr>
                <w:rFonts w:cs="Times New Roman"/>
                <w:i/>
                <w:sz w:val="18"/>
                <w:szCs w:val="18"/>
              </w:rPr>
              <w:t xml:space="preserve">Information on balloon(s) used, commercial operation(s) and continuing airworthiness management </w:t>
            </w:r>
            <w:r w:rsidRPr="00E93BAD">
              <w:rPr>
                <w:rFonts w:cs="Times New Roman"/>
                <w:i/>
                <w:sz w:val="18"/>
                <w:szCs w:val="18"/>
                <w:vertAlign w:val="superscript"/>
              </w:rPr>
              <w:t>(1)</w:t>
            </w:r>
            <w:r w:rsidRPr="00E93BAD">
              <w:rPr>
                <w:rFonts w:cs="Times New Roman"/>
                <w:i/>
                <w:sz w:val="18"/>
                <w:szCs w:val="18"/>
              </w:rPr>
              <w:t>:</w:t>
            </w:r>
          </w:p>
          <w:p w:rsidR="00E93BAD" w:rsidRPr="00E93BAD" w:rsidRDefault="00E93BAD" w:rsidP="00E93BAD">
            <w:pPr>
              <w:jc w:val="both"/>
              <w:rPr>
                <w:rFonts w:cs="Times New Roman"/>
                <w:szCs w:val="24"/>
                <w:lang w:val="sr-Cyrl-RS"/>
              </w:rPr>
            </w:pPr>
          </w:p>
        </w:tc>
      </w:tr>
      <w:tr w:rsidR="00E93BAD" w:rsidRPr="00E93BAD" w:rsidTr="00B4296D">
        <w:tc>
          <w:tcPr>
            <w:tcW w:w="1870" w:type="dxa"/>
          </w:tcPr>
          <w:p w:rsidR="00E93BAD" w:rsidRPr="00E93BAD" w:rsidRDefault="00E93BAD" w:rsidP="00E93BAD">
            <w:pPr>
              <w:jc w:val="center"/>
              <w:rPr>
                <w:rFonts w:cs="Times New Roman"/>
                <w:b/>
                <w:sz w:val="20"/>
                <w:szCs w:val="20"/>
                <w:lang w:val="sr-Cyrl-RS"/>
              </w:rPr>
            </w:pPr>
            <w:r w:rsidRPr="00E93BAD">
              <w:rPr>
                <w:rFonts w:cs="Times New Roman"/>
                <w:b/>
                <w:sz w:val="20"/>
                <w:szCs w:val="20"/>
                <w:lang w:val="sr-Cyrl-RS"/>
              </w:rPr>
              <w:t>Тип балона</w:t>
            </w:r>
          </w:p>
          <w:p w:rsidR="00E93BAD" w:rsidRPr="00E93BAD" w:rsidRDefault="00E93BAD" w:rsidP="00E93BAD">
            <w:pPr>
              <w:jc w:val="center"/>
              <w:rPr>
                <w:rFonts w:cs="Times New Roman"/>
                <w:i/>
                <w:sz w:val="18"/>
                <w:szCs w:val="18"/>
              </w:rPr>
            </w:pPr>
            <w:r w:rsidRPr="00E93BAD">
              <w:rPr>
                <w:rFonts w:cs="Times New Roman"/>
                <w:i/>
                <w:sz w:val="18"/>
                <w:szCs w:val="18"/>
              </w:rPr>
              <w:t>Balloon type</w:t>
            </w:r>
          </w:p>
        </w:tc>
        <w:tc>
          <w:tcPr>
            <w:tcW w:w="1870" w:type="dxa"/>
          </w:tcPr>
          <w:p w:rsidR="00E93BAD" w:rsidRPr="00E93BAD" w:rsidRDefault="00E93BAD" w:rsidP="00E93BAD">
            <w:pPr>
              <w:jc w:val="center"/>
              <w:rPr>
                <w:rFonts w:cs="Times New Roman"/>
                <w:b/>
                <w:sz w:val="20"/>
                <w:szCs w:val="20"/>
                <w:lang w:val="sr-Cyrl-RS"/>
              </w:rPr>
            </w:pPr>
            <w:r w:rsidRPr="00E93BAD">
              <w:rPr>
                <w:rFonts w:cs="Times New Roman"/>
                <w:b/>
                <w:sz w:val="20"/>
                <w:szCs w:val="20"/>
                <w:lang w:val="sr-Cyrl-RS"/>
              </w:rPr>
              <w:t>Ознака регистрације балона</w:t>
            </w:r>
          </w:p>
          <w:p w:rsidR="00E93BAD" w:rsidRPr="00E93BAD" w:rsidRDefault="00E93BAD" w:rsidP="00E93BAD">
            <w:pPr>
              <w:jc w:val="center"/>
              <w:rPr>
                <w:rFonts w:cs="Times New Roman"/>
                <w:i/>
                <w:sz w:val="18"/>
                <w:szCs w:val="18"/>
              </w:rPr>
            </w:pPr>
            <w:r w:rsidRPr="00E93BAD">
              <w:rPr>
                <w:rFonts w:cs="Times New Roman"/>
                <w:i/>
                <w:sz w:val="18"/>
                <w:szCs w:val="18"/>
              </w:rPr>
              <w:t>Balloon registration</w:t>
            </w:r>
          </w:p>
        </w:tc>
        <w:tc>
          <w:tcPr>
            <w:tcW w:w="1870" w:type="dxa"/>
          </w:tcPr>
          <w:p w:rsidR="00E93BAD" w:rsidRPr="00E93BAD" w:rsidRDefault="00E93BAD" w:rsidP="00E93BAD">
            <w:pPr>
              <w:jc w:val="center"/>
              <w:rPr>
                <w:rFonts w:cs="Times New Roman"/>
                <w:b/>
                <w:sz w:val="20"/>
                <w:szCs w:val="20"/>
                <w:lang w:val="sr-Cyrl-RS"/>
              </w:rPr>
            </w:pPr>
            <w:r w:rsidRPr="00E93BAD">
              <w:rPr>
                <w:rFonts w:cs="Times New Roman"/>
                <w:b/>
                <w:sz w:val="20"/>
                <w:szCs w:val="20"/>
                <w:lang w:val="sr-Cyrl-RS"/>
              </w:rPr>
              <w:t>Главна база</w:t>
            </w:r>
          </w:p>
          <w:p w:rsidR="00E93BAD" w:rsidRPr="00E93BAD" w:rsidRDefault="00E93BAD" w:rsidP="00E93BAD">
            <w:pPr>
              <w:jc w:val="center"/>
              <w:rPr>
                <w:rFonts w:cs="Times New Roman"/>
                <w:i/>
                <w:sz w:val="20"/>
                <w:szCs w:val="20"/>
              </w:rPr>
            </w:pPr>
            <w:r w:rsidRPr="00E93BAD">
              <w:rPr>
                <w:rFonts w:cs="Times New Roman"/>
                <w:i/>
                <w:sz w:val="20"/>
                <w:szCs w:val="20"/>
              </w:rPr>
              <w:t>Main base</w:t>
            </w:r>
          </w:p>
        </w:tc>
        <w:tc>
          <w:tcPr>
            <w:tcW w:w="1870" w:type="dxa"/>
          </w:tcPr>
          <w:p w:rsidR="00E93BAD" w:rsidRPr="00E93BAD" w:rsidRDefault="00E93BAD" w:rsidP="00E93BAD">
            <w:pPr>
              <w:jc w:val="center"/>
              <w:rPr>
                <w:rFonts w:cs="Times New Roman"/>
                <w:b/>
                <w:sz w:val="20"/>
                <w:szCs w:val="20"/>
                <w:vertAlign w:val="superscript"/>
                <w:lang w:val="sr-Cyrl-RS"/>
              </w:rPr>
            </w:pPr>
            <w:r w:rsidRPr="00E93BAD">
              <w:rPr>
                <w:rFonts w:cs="Times New Roman"/>
                <w:b/>
                <w:sz w:val="20"/>
                <w:szCs w:val="20"/>
                <w:lang w:val="sr-Cyrl-RS"/>
              </w:rPr>
              <w:t xml:space="preserve">Врста летова </w:t>
            </w:r>
            <w:r w:rsidRPr="00E93BAD">
              <w:rPr>
                <w:rFonts w:cs="Times New Roman"/>
                <w:b/>
                <w:sz w:val="20"/>
                <w:szCs w:val="20"/>
                <w:vertAlign w:val="superscript"/>
                <w:lang w:val="sr-Cyrl-RS"/>
              </w:rPr>
              <w:t>(2)</w:t>
            </w:r>
          </w:p>
          <w:p w:rsidR="00E93BAD" w:rsidRPr="00E93BAD" w:rsidRDefault="00E93BAD" w:rsidP="00E93BAD">
            <w:pPr>
              <w:jc w:val="center"/>
              <w:rPr>
                <w:rFonts w:cs="Times New Roman"/>
                <w:i/>
                <w:sz w:val="18"/>
                <w:szCs w:val="18"/>
              </w:rPr>
            </w:pPr>
            <w:r w:rsidRPr="00E93BAD">
              <w:rPr>
                <w:rFonts w:cs="Times New Roman"/>
                <w:i/>
                <w:sz w:val="18"/>
                <w:szCs w:val="18"/>
              </w:rPr>
              <w:t xml:space="preserve">Type(s) of operation </w:t>
            </w:r>
            <w:r w:rsidRPr="00E93BAD">
              <w:rPr>
                <w:rFonts w:cs="Times New Roman"/>
                <w:i/>
                <w:sz w:val="18"/>
                <w:szCs w:val="18"/>
                <w:vertAlign w:val="superscript"/>
              </w:rPr>
              <w:t>(2)</w:t>
            </w:r>
          </w:p>
        </w:tc>
        <w:tc>
          <w:tcPr>
            <w:tcW w:w="1870" w:type="dxa"/>
          </w:tcPr>
          <w:p w:rsidR="00E93BAD" w:rsidRPr="00E93BAD" w:rsidRDefault="00E93BAD" w:rsidP="00E93BAD">
            <w:pPr>
              <w:jc w:val="center"/>
              <w:rPr>
                <w:rFonts w:cs="Times New Roman"/>
                <w:b/>
                <w:sz w:val="20"/>
                <w:szCs w:val="20"/>
                <w:vertAlign w:val="superscript"/>
                <w:lang w:val="sr-Cyrl-RS"/>
              </w:rPr>
            </w:pPr>
            <w:r w:rsidRPr="00E93BAD">
              <w:rPr>
                <w:rFonts w:cs="Times New Roman"/>
                <w:b/>
                <w:sz w:val="20"/>
                <w:szCs w:val="20"/>
                <w:lang w:val="sr-Cyrl-RS"/>
              </w:rPr>
              <w:t xml:space="preserve">Организација за обезбеђивање континуиране пловидбености </w:t>
            </w:r>
            <w:r w:rsidRPr="00E93BAD">
              <w:rPr>
                <w:rFonts w:cs="Times New Roman"/>
                <w:b/>
                <w:sz w:val="20"/>
                <w:szCs w:val="20"/>
                <w:vertAlign w:val="superscript"/>
                <w:lang w:val="sr-Cyrl-RS"/>
              </w:rPr>
              <w:t>(3)</w:t>
            </w:r>
          </w:p>
          <w:p w:rsidR="00E93BAD" w:rsidRPr="00E93BAD" w:rsidRDefault="00E93BAD" w:rsidP="00E93BAD">
            <w:pPr>
              <w:jc w:val="center"/>
              <w:rPr>
                <w:rFonts w:cs="Times New Roman"/>
                <w:i/>
                <w:sz w:val="18"/>
                <w:szCs w:val="18"/>
                <w:vertAlign w:val="superscript"/>
              </w:rPr>
            </w:pPr>
            <w:r w:rsidRPr="00E93BAD">
              <w:rPr>
                <w:rFonts w:cs="Times New Roman"/>
                <w:i/>
                <w:sz w:val="18"/>
                <w:szCs w:val="18"/>
              </w:rPr>
              <w:t xml:space="preserve">Continuing airworthiness management organisation </w:t>
            </w:r>
            <w:r w:rsidRPr="00E93BAD">
              <w:rPr>
                <w:rFonts w:cs="Times New Roman"/>
                <w:i/>
                <w:sz w:val="18"/>
                <w:szCs w:val="18"/>
                <w:vertAlign w:val="superscript"/>
              </w:rPr>
              <w:t>(3)</w:t>
            </w:r>
          </w:p>
          <w:p w:rsidR="00E93BAD" w:rsidRPr="00E93BAD" w:rsidRDefault="00E93BAD" w:rsidP="00E93BAD">
            <w:pPr>
              <w:jc w:val="center"/>
              <w:rPr>
                <w:rFonts w:cs="Times New Roman"/>
                <w:b/>
                <w:sz w:val="20"/>
                <w:szCs w:val="20"/>
                <w:lang w:val="sr-Cyrl-RS"/>
              </w:rPr>
            </w:pPr>
          </w:p>
        </w:tc>
      </w:tr>
      <w:tr w:rsidR="00E93BAD" w:rsidRPr="00E93BAD" w:rsidTr="00B4296D">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r>
      <w:tr w:rsidR="00E93BAD" w:rsidRPr="00E93BAD" w:rsidTr="00B4296D">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r>
      <w:tr w:rsidR="00E93BAD" w:rsidRPr="00E93BAD" w:rsidTr="00B4296D">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r>
      <w:tr w:rsidR="00E93BAD" w:rsidRPr="00E93BAD" w:rsidTr="00B4296D">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c>
          <w:tcPr>
            <w:tcW w:w="1870" w:type="dxa"/>
          </w:tcPr>
          <w:p w:rsidR="00E93BAD" w:rsidRPr="00E93BAD" w:rsidRDefault="00E93BAD" w:rsidP="00E93BAD">
            <w:pPr>
              <w:jc w:val="center"/>
              <w:rPr>
                <w:rFonts w:cs="Times New Roman"/>
                <w:b/>
                <w:sz w:val="20"/>
                <w:szCs w:val="20"/>
                <w:lang w:val="sr-Cyrl-RS"/>
              </w:rPr>
            </w:pPr>
          </w:p>
        </w:tc>
      </w:tr>
      <w:tr w:rsidR="00E93BAD" w:rsidRPr="00E93BAD" w:rsidTr="00B4296D">
        <w:tc>
          <w:tcPr>
            <w:tcW w:w="9350" w:type="dxa"/>
            <w:gridSpan w:val="5"/>
          </w:tcPr>
          <w:p w:rsidR="00E93BAD" w:rsidRPr="00E93BAD" w:rsidRDefault="00E93BAD" w:rsidP="00E93BAD">
            <w:pPr>
              <w:jc w:val="both"/>
              <w:rPr>
                <w:rFonts w:cs="Times New Roman"/>
                <w:b/>
                <w:sz w:val="20"/>
                <w:szCs w:val="20"/>
                <w:lang w:val="sr-Cyrl-RS"/>
              </w:rPr>
            </w:pPr>
            <w:r w:rsidRPr="00E93BAD">
              <w:rPr>
                <w:rFonts w:cs="Times New Roman"/>
                <w:b/>
                <w:sz w:val="20"/>
                <w:szCs w:val="20"/>
                <w:lang w:val="sr-Cyrl-RS"/>
              </w:rPr>
              <w:t>Ако је применљиво навести листу алтернативних начина усаглашавања (</w:t>
            </w:r>
            <w:r w:rsidRPr="00E93BAD">
              <w:rPr>
                <w:rFonts w:cs="Times New Roman"/>
                <w:b/>
                <w:i/>
                <w:sz w:val="20"/>
                <w:szCs w:val="20"/>
              </w:rPr>
              <w:t>AltMoC</w:t>
            </w:r>
            <w:r w:rsidRPr="00E93BAD">
              <w:rPr>
                <w:rFonts w:cs="Times New Roman"/>
                <w:b/>
                <w:sz w:val="20"/>
                <w:szCs w:val="20"/>
              </w:rPr>
              <w:t xml:space="preserve">) </w:t>
            </w:r>
            <w:r w:rsidRPr="00E93BAD">
              <w:rPr>
                <w:rFonts w:cs="Times New Roman"/>
                <w:b/>
                <w:sz w:val="20"/>
                <w:szCs w:val="20"/>
                <w:lang w:val="sr-Cyrl-RS"/>
              </w:rPr>
              <w:t>уз упућивање на повезане прихватљиве начине усаглашавања (</w:t>
            </w:r>
            <w:r w:rsidRPr="00E93BAD">
              <w:rPr>
                <w:rFonts w:cs="Times New Roman"/>
                <w:b/>
                <w:i/>
                <w:sz w:val="20"/>
                <w:szCs w:val="20"/>
                <w:lang w:val="sr-Cyrl-RS"/>
              </w:rPr>
              <w:t>АМС</w:t>
            </w:r>
            <w:r w:rsidRPr="00E93BAD">
              <w:rPr>
                <w:rFonts w:cs="Times New Roman"/>
                <w:b/>
                <w:sz w:val="20"/>
                <w:szCs w:val="20"/>
                <w:lang w:val="sr-Cyrl-RS"/>
              </w:rPr>
              <w:t>) (приложити изјаву):</w:t>
            </w:r>
          </w:p>
          <w:p w:rsidR="00E93BAD" w:rsidRPr="00E93BAD" w:rsidRDefault="00E93BAD" w:rsidP="00E93BAD">
            <w:pPr>
              <w:jc w:val="both"/>
              <w:rPr>
                <w:rFonts w:cs="Times New Roman"/>
                <w:i/>
                <w:sz w:val="18"/>
                <w:szCs w:val="18"/>
              </w:rPr>
            </w:pPr>
            <w:r w:rsidRPr="00E93BAD">
              <w:rPr>
                <w:rFonts w:cs="Times New Roman"/>
                <w:i/>
                <w:sz w:val="18"/>
                <w:szCs w:val="18"/>
              </w:rPr>
              <w:t xml:space="preserve">Where applicable, list of the </w:t>
            </w:r>
            <w:proofErr w:type="spellStart"/>
            <w:r w:rsidRPr="00E93BAD">
              <w:rPr>
                <w:rFonts w:cs="Times New Roman"/>
                <w:i/>
                <w:sz w:val="18"/>
                <w:szCs w:val="18"/>
              </w:rPr>
              <w:t>AltMoCs</w:t>
            </w:r>
            <w:proofErr w:type="spellEnd"/>
            <w:r w:rsidRPr="00E93BAD">
              <w:rPr>
                <w:rFonts w:cs="Times New Roman"/>
                <w:i/>
                <w:sz w:val="18"/>
                <w:szCs w:val="18"/>
              </w:rPr>
              <w:t xml:space="preserve"> with references to the associated AMC (annex to this declaration)</w:t>
            </w:r>
          </w:p>
          <w:p w:rsidR="00E93BAD" w:rsidRPr="00E93BAD" w:rsidRDefault="00E93BAD" w:rsidP="00E93BAD">
            <w:pPr>
              <w:rPr>
                <w:rFonts w:cs="Times New Roman"/>
                <w:szCs w:val="24"/>
                <w:lang w:val="sr-Cyrl-RS"/>
              </w:rPr>
            </w:pPr>
          </w:p>
        </w:tc>
      </w:tr>
      <w:tr w:rsidR="00E93BAD" w:rsidRPr="00E93BAD" w:rsidTr="00B4296D">
        <w:tc>
          <w:tcPr>
            <w:tcW w:w="9350" w:type="dxa"/>
            <w:gridSpan w:val="5"/>
          </w:tcPr>
          <w:p w:rsidR="00E93BAD" w:rsidRPr="00E93BAD" w:rsidRDefault="00E93BAD" w:rsidP="00E93BAD">
            <w:pPr>
              <w:rPr>
                <w:rFonts w:cs="Times New Roman"/>
                <w:b/>
                <w:sz w:val="20"/>
                <w:szCs w:val="20"/>
                <w:lang w:val="sr-Cyrl-RS"/>
              </w:rPr>
            </w:pPr>
            <w:r w:rsidRPr="00E93BAD">
              <w:rPr>
                <w:rFonts w:cs="Times New Roman"/>
                <w:b/>
                <w:sz w:val="20"/>
                <w:szCs w:val="20"/>
                <w:lang w:val="sr-Cyrl-RS"/>
              </w:rPr>
              <w:t>Овим изјављује да:</w:t>
            </w:r>
          </w:p>
          <w:p w:rsidR="00E93BAD" w:rsidRPr="00E93BAD" w:rsidRDefault="00E93BAD" w:rsidP="00E93BAD">
            <w:pPr>
              <w:rPr>
                <w:rFonts w:cs="Times New Roman"/>
                <w:i/>
                <w:sz w:val="20"/>
                <w:szCs w:val="20"/>
                <w:lang w:val="sr-Cyrl-RS"/>
              </w:rPr>
            </w:pPr>
            <w:r w:rsidRPr="00E93BAD">
              <w:rPr>
                <w:rFonts w:cs="Times New Roman"/>
                <w:i/>
                <w:sz w:val="20"/>
                <w:szCs w:val="20"/>
              </w:rPr>
              <w:t>Statements:</w:t>
            </w:r>
            <w:r w:rsidRPr="00E93BAD">
              <w:rPr>
                <w:rFonts w:cs="Times New Roman"/>
                <w:i/>
                <w:sz w:val="20"/>
                <w:szCs w:val="20"/>
                <w:lang w:val="sr-Cyrl-RS"/>
              </w:rPr>
              <w:t xml:space="preserve"> </w:t>
            </w:r>
          </w:p>
          <w:p w:rsidR="00E93BAD" w:rsidRPr="00E93BAD" w:rsidRDefault="00E93BAD" w:rsidP="00E93BAD">
            <w:pPr>
              <w:rPr>
                <w:rFonts w:cs="Times New Roman"/>
                <w:szCs w:val="24"/>
                <w:lang w:val="sr-Cyrl-RS"/>
              </w:rPr>
            </w:pPr>
          </w:p>
        </w:tc>
      </w:tr>
      <w:tr w:rsidR="00E93BAD" w:rsidRPr="00E93BAD" w:rsidTr="00B4296D">
        <w:tc>
          <w:tcPr>
            <w:tcW w:w="9350" w:type="dxa"/>
            <w:gridSpan w:val="5"/>
          </w:tcPr>
          <w:p w:rsidR="00E93BAD" w:rsidRPr="00E93BAD" w:rsidRDefault="00E93BAD" w:rsidP="00E93BAD">
            <w:pPr>
              <w:jc w:val="both"/>
              <w:rPr>
                <w:rFonts w:cs="Times New Roman"/>
                <w:sz w:val="20"/>
                <w:szCs w:val="20"/>
                <w:lang w:val="sr-Cyrl-RS"/>
              </w:rPr>
            </w:pPr>
            <w:r w:rsidRPr="00E93BAD">
              <w:rPr>
                <w:rFonts w:ascii="Calibri" w:hAnsi="Calibri" w:cs="Times New Roman"/>
                <w:noProof/>
                <w:sz w:val="20"/>
                <w:szCs w:val="20"/>
              </w:rPr>
              <mc:AlternateContent>
                <mc:Choice Requires="wps">
                  <w:drawing>
                    <wp:anchor distT="0" distB="0" distL="114300" distR="114300" simplePos="0" relativeHeight="251659264" behindDoc="0" locked="0" layoutInCell="1" allowOverlap="1" wp14:anchorId="1E0B7DDD" wp14:editId="39E83A16">
                      <wp:simplePos x="0" y="0"/>
                      <wp:positionH relativeFrom="column">
                        <wp:posOffset>-6350</wp:posOffset>
                      </wp:positionH>
                      <wp:positionV relativeFrom="paragraph">
                        <wp:posOffset>1905</wp:posOffset>
                      </wp:positionV>
                      <wp:extent cx="129653" cy="122829"/>
                      <wp:effectExtent l="0" t="0" r="22860" b="10795"/>
                      <wp:wrapNone/>
                      <wp:docPr id="1" name="Rectangle 1"/>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00F70" id="Rectangle 1" o:spid="_x0000_s1026" style="position:absolute;margin-left:-.5pt;margin-top:.15pt;width:10.2pt;height: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" fillcolor="window" strokecolor="windowText"/>
                  </w:pict>
                </mc:Fallback>
              </mc:AlternateContent>
            </w:r>
            <w:r w:rsidRPr="00E93BAD">
              <w:rPr>
                <w:rFonts w:cs="Times New Roman"/>
                <w:sz w:val="20"/>
                <w:szCs w:val="20"/>
                <w:lang w:val="sr-Cyrl-RS"/>
              </w:rPr>
              <w:t xml:space="preserve">     Оператер испуњава и наставиће да испуњава основне захтеве утврђене у Анексу </w:t>
            </w:r>
            <w:r w:rsidRPr="00E93BAD">
              <w:rPr>
                <w:rFonts w:cs="Times New Roman"/>
                <w:sz w:val="20"/>
                <w:szCs w:val="20"/>
                <w:lang w:val="sr-Latn-RS"/>
              </w:rPr>
              <w:t xml:space="preserve">V </w:t>
            </w:r>
            <w:r w:rsidRPr="00E93BAD">
              <w:rPr>
                <w:rFonts w:cs="Times New Roman"/>
                <w:sz w:val="20"/>
                <w:szCs w:val="20"/>
                <w:lang w:val="sr-Cyrl-RS"/>
              </w:rPr>
              <w:t xml:space="preserve">Уредбе (ЕУ) 2018/1139 (која је у Републици Србији имплементирана Правилником о заједничким правилима Европске уније у области цивилног ваздухопловства и надлежностима Агенције Европске уније за безбедност ваздушног саобраћаја), као и захтеве из Уредбе (ЕУ) 2018/395. Посебно, оператер </w:t>
            </w:r>
            <w:r w:rsidRPr="00E93BAD">
              <w:rPr>
                <w:rFonts w:cs="Times New Roman"/>
                <w:sz w:val="20"/>
                <w:szCs w:val="20"/>
                <w:lang w:val="sr-Cyrl-RS"/>
              </w:rPr>
              <w:lastRenderedPageBreak/>
              <w:t>обавља комерцијално летење у складу са следећим захтевима из Главе</w:t>
            </w:r>
            <w:r w:rsidRPr="00E93BAD">
              <w:rPr>
                <w:rFonts w:cs="Times New Roman"/>
                <w:sz w:val="20"/>
                <w:szCs w:val="20"/>
              </w:rPr>
              <w:t xml:space="preserve"> </w:t>
            </w:r>
            <w:r w:rsidRPr="00E93BAD">
              <w:rPr>
                <w:rFonts w:cs="Times New Roman"/>
                <w:i/>
                <w:sz w:val="20"/>
                <w:szCs w:val="20"/>
              </w:rPr>
              <w:t>ADD</w:t>
            </w:r>
            <w:r w:rsidRPr="00E93BAD">
              <w:rPr>
                <w:rFonts w:cs="Times New Roman"/>
                <w:sz w:val="20"/>
                <w:szCs w:val="20"/>
                <w:lang w:val="sr-Cyrl-RS"/>
              </w:rPr>
              <w:t xml:space="preserve"> Анекса</w:t>
            </w:r>
            <w:r w:rsidRPr="00E93BAD">
              <w:rPr>
                <w:rFonts w:cs="Times New Roman"/>
                <w:sz w:val="20"/>
                <w:szCs w:val="20"/>
              </w:rPr>
              <w:t xml:space="preserve"> II</w:t>
            </w:r>
            <w:r w:rsidRPr="00E93BAD">
              <w:rPr>
                <w:rFonts w:cs="Times New Roman"/>
                <w:sz w:val="20"/>
                <w:szCs w:val="20"/>
                <w:lang w:val="sr-Cyrl-RS"/>
              </w:rPr>
              <w:t xml:space="preserve"> Уредбе (ЕУ) 2018/395:</w:t>
            </w:r>
          </w:p>
          <w:p w:rsidR="00E93BAD" w:rsidRPr="00E93BAD" w:rsidRDefault="00E93BAD" w:rsidP="00E93BAD">
            <w:pPr>
              <w:jc w:val="both"/>
              <w:rPr>
                <w:rFonts w:cs="Times New Roman"/>
                <w:i/>
                <w:sz w:val="18"/>
                <w:szCs w:val="18"/>
              </w:rPr>
            </w:pPr>
            <w:r w:rsidRPr="00E93BAD">
              <w:rPr>
                <w:rFonts w:cs="Times New Roman"/>
                <w:i/>
                <w:sz w:val="18"/>
                <w:szCs w:val="18"/>
              </w:rPr>
              <w:t xml:space="preserve">The operator complies, and will continue to comply, with the essential requirements set out in Annex V to Regulation (EU) 2018/1139 (implemented in the Republic of Serbia through the Regulation on common rules in the field of civil aviation and the competences of the European Aviation Safety Agency) and with the requirements of Regulation (EU) 2018/395. </w:t>
            </w:r>
          </w:p>
          <w:p w:rsidR="00E93BAD" w:rsidRPr="00E93BAD" w:rsidRDefault="00E93BAD" w:rsidP="00E93BAD">
            <w:pPr>
              <w:jc w:val="both"/>
              <w:rPr>
                <w:rFonts w:cs="Times New Roman"/>
                <w:sz w:val="20"/>
                <w:szCs w:val="20"/>
              </w:rPr>
            </w:pPr>
            <w:r w:rsidRPr="00E93BAD">
              <w:rPr>
                <w:rFonts w:cs="Times New Roman"/>
                <w:i/>
                <w:sz w:val="18"/>
                <w:szCs w:val="18"/>
              </w:rPr>
              <w:t>In particular, the operator conducts its commercial operations in accordance with the following requirements of Subpart ADD of Annex II to Regulation (EU) 2018/395:</w:t>
            </w:r>
          </w:p>
        </w:tc>
      </w:tr>
      <w:tr w:rsidR="00E93BAD" w:rsidRPr="00E93BAD" w:rsidTr="00B4296D">
        <w:tc>
          <w:tcPr>
            <w:tcW w:w="9350" w:type="dxa"/>
            <w:gridSpan w:val="5"/>
          </w:tcPr>
          <w:p w:rsidR="00E93BAD" w:rsidRPr="00E93BAD" w:rsidRDefault="00E93BAD" w:rsidP="00E93BAD">
            <w:pPr>
              <w:jc w:val="both"/>
              <w:rPr>
                <w:rFonts w:cs="Times New Roman"/>
                <w:noProof/>
                <w:sz w:val="20"/>
                <w:szCs w:val="20"/>
              </w:rPr>
            </w:pPr>
            <w:r w:rsidRPr="00E93BAD">
              <w:rPr>
                <w:rFonts w:ascii="Calibri" w:hAnsi="Calibri" w:cs="Times New Roman"/>
                <w:noProof/>
                <w:sz w:val="20"/>
                <w:szCs w:val="20"/>
              </w:rPr>
              <w:lastRenderedPageBreak/>
              <mc:AlternateContent>
                <mc:Choice Requires="wps">
                  <w:drawing>
                    <wp:anchor distT="0" distB="0" distL="114300" distR="114300" simplePos="0" relativeHeight="251660288" behindDoc="0" locked="0" layoutInCell="1" allowOverlap="1" wp14:anchorId="1D093DAE" wp14:editId="068FEDF8">
                      <wp:simplePos x="0" y="0"/>
                      <wp:positionH relativeFrom="column">
                        <wp:posOffset>-6350</wp:posOffset>
                      </wp:positionH>
                      <wp:positionV relativeFrom="paragraph">
                        <wp:posOffset>1905</wp:posOffset>
                      </wp:positionV>
                      <wp:extent cx="129653" cy="122829"/>
                      <wp:effectExtent l="0" t="0" r="22860" b="10795"/>
                      <wp:wrapNone/>
                      <wp:docPr id="2" name="Rectangle 2"/>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8CB163" id="Rectangle 2" o:spid="_x0000_s1026" style="position:absolute;margin-left:-.5pt;margin-top:.15pt;width:10.2pt;height:9.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" fillcolor="window" strokecolor="windowText"/>
                  </w:pict>
                </mc:Fallback>
              </mc:AlternateContent>
            </w:r>
            <w:r w:rsidRPr="00E93BAD">
              <w:rPr>
                <w:rFonts w:cs="Times New Roman"/>
                <w:noProof/>
                <w:sz w:val="20"/>
                <w:szCs w:val="20"/>
              </w:rPr>
              <w:t xml:space="preserve">      Документација система управљања, укључујући оперативни приручник, испуњава</w:t>
            </w:r>
          </w:p>
          <w:p w:rsidR="00E93BAD" w:rsidRPr="00E93BAD" w:rsidRDefault="00E93BAD" w:rsidP="00E93BAD">
            <w:pPr>
              <w:jc w:val="both"/>
              <w:rPr>
                <w:rFonts w:cs="Times New Roman"/>
                <w:noProof/>
                <w:sz w:val="20"/>
                <w:szCs w:val="20"/>
              </w:rPr>
            </w:pPr>
            <w:r w:rsidRPr="00E93BAD">
              <w:rPr>
                <w:rFonts w:cs="Times New Roman"/>
                <w:noProof/>
                <w:sz w:val="20"/>
                <w:szCs w:val="20"/>
              </w:rPr>
              <w:t>захтеве из Главе ADD и сви летови се обављају у складу са одредбама оперативног приручника,</w:t>
            </w:r>
          </w:p>
          <w:p w:rsidR="00E93BAD" w:rsidRPr="00E93BAD" w:rsidRDefault="00E93BAD" w:rsidP="00E93BAD">
            <w:pPr>
              <w:jc w:val="both"/>
              <w:rPr>
                <w:rFonts w:cs="Times New Roman"/>
                <w:noProof/>
                <w:sz w:val="20"/>
                <w:szCs w:val="20"/>
              </w:rPr>
            </w:pPr>
            <w:r w:rsidRPr="00E93BAD">
              <w:rPr>
                <w:rFonts w:cs="Times New Roman"/>
                <w:noProof/>
                <w:sz w:val="20"/>
                <w:szCs w:val="20"/>
              </w:rPr>
              <w:t>на начин прописан у Глави ADD, тачка BOP.ADD.005б).</w:t>
            </w:r>
          </w:p>
          <w:p w:rsidR="00E93BAD" w:rsidRPr="00E93BAD" w:rsidRDefault="00E93BAD" w:rsidP="00E93BAD">
            <w:pPr>
              <w:jc w:val="both"/>
              <w:rPr>
                <w:rFonts w:cs="Times New Roman"/>
                <w:i/>
                <w:noProof/>
                <w:sz w:val="18"/>
                <w:szCs w:val="18"/>
              </w:rPr>
            </w:pPr>
            <w:r w:rsidRPr="00E93BAD">
              <w:rPr>
                <w:rFonts w:cs="Times New Roman"/>
                <w:i/>
                <w:noProof/>
                <w:sz w:val="18"/>
                <w:szCs w:val="18"/>
              </w:rPr>
              <w:t>The management system documentation, including the operations manual, comply with the requirements of Subpart ADD and all flights will be carried out in accordance with the provisions of the operations manual as required by point BOP.ADD.005(b) of Subpart ADD</w:t>
            </w:r>
          </w:p>
        </w:tc>
      </w:tr>
      <w:tr w:rsidR="00E93BAD" w:rsidRPr="00E93BAD" w:rsidTr="00B4296D">
        <w:tc>
          <w:tcPr>
            <w:tcW w:w="9350" w:type="dxa"/>
            <w:gridSpan w:val="5"/>
          </w:tcPr>
          <w:p w:rsidR="00E93BAD" w:rsidRPr="00E93BAD" w:rsidRDefault="00E93BAD" w:rsidP="00E93BAD">
            <w:pPr>
              <w:jc w:val="both"/>
              <w:rPr>
                <w:rFonts w:cs="Times New Roman"/>
                <w:noProof/>
                <w:sz w:val="20"/>
                <w:szCs w:val="20"/>
              </w:rPr>
            </w:pPr>
            <w:r w:rsidRPr="00E93BAD">
              <w:rPr>
                <w:rFonts w:ascii="Calibri" w:hAnsi="Calibri" w:cs="Times New Roman"/>
                <w:noProof/>
                <w:sz w:val="20"/>
                <w:szCs w:val="20"/>
              </w:rPr>
              <mc:AlternateContent>
                <mc:Choice Requires="wps">
                  <w:drawing>
                    <wp:anchor distT="0" distB="0" distL="114300" distR="114300" simplePos="0" relativeHeight="251661312" behindDoc="0" locked="0" layoutInCell="1" allowOverlap="1" wp14:anchorId="5AA8E795" wp14:editId="1CC92A94">
                      <wp:simplePos x="0" y="0"/>
                      <wp:positionH relativeFrom="column">
                        <wp:posOffset>-6350</wp:posOffset>
                      </wp:positionH>
                      <wp:positionV relativeFrom="paragraph">
                        <wp:posOffset>2540</wp:posOffset>
                      </wp:positionV>
                      <wp:extent cx="129653" cy="122829"/>
                      <wp:effectExtent l="0" t="0" r="22860" b="10795"/>
                      <wp:wrapNone/>
                      <wp:docPr id="3" name="Rectangle 3"/>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86A4A" id="Rectangle 3" o:spid="_x0000_s1026" style="position:absolute;margin-left:-.5pt;margin-top:.2pt;width:10.2pt;height:9.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" fillcolor="window" strokecolor="windowText"/>
                  </w:pict>
                </mc:Fallback>
              </mc:AlternateContent>
            </w:r>
            <w:r w:rsidRPr="00E93BAD">
              <w:rPr>
                <w:rFonts w:ascii="Calibri" w:hAnsi="Calibri" w:cs="Times New Roman"/>
                <w:noProof/>
                <w:sz w:val="20"/>
                <w:szCs w:val="20"/>
              </w:rPr>
              <w:t xml:space="preserve">       </w:t>
            </w:r>
            <w:r w:rsidRPr="00E93BAD">
              <w:rPr>
                <w:rFonts w:cs="Times New Roman"/>
                <w:noProof/>
                <w:sz w:val="20"/>
                <w:szCs w:val="20"/>
              </w:rPr>
              <w:t>Сви балони који се користе имају потврду о пловидбености која је издата у складу са</w:t>
            </w:r>
          </w:p>
          <w:p w:rsidR="00E93BAD" w:rsidRPr="00E93BAD" w:rsidRDefault="00E93BAD" w:rsidP="00E93BAD">
            <w:pPr>
              <w:jc w:val="both"/>
              <w:rPr>
                <w:rFonts w:cs="Times New Roman"/>
                <w:noProof/>
                <w:sz w:val="20"/>
                <w:szCs w:val="20"/>
              </w:rPr>
            </w:pPr>
            <w:r w:rsidRPr="00E93BAD">
              <w:rPr>
                <w:rFonts w:cs="Times New Roman"/>
                <w:noProof/>
                <w:sz w:val="20"/>
                <w:szCs w:val="20"/>
              </w:rPr>
              <w:t>Уредбом (ЕУ) бр. 748/2012 (која је у Републици Србији имплементирана Правилником о</w:t>
            </w:r>
          </w:p>
          <w:p w:rsidR="00E93BAD" w:rsidRPr="00E93BAD" w:rsidRDefault="00E93BAD" w:rsidP="00E93BAD">
            <w:pPr>
              <w:jc w:val="both"/>
              <w:rPr>
                <w:rFonts w:cs="Times New Roman"/>
                <w:noProof/>
                <w:sz w:val="20"/>
                <w:szCs w:val="20"/>
              </w:rPr>
            </w:pPr>
            <w:r w:rsidRPr="00E93BAD">
              <w:rPr>
                <w:rFonts w:cs="Times New Roman"/>
                <w:noProof/>
                <w:sz w:val="20"/>
                <w:szCs w:val="20"/>
              </w:rPr>
              <w:t>сертификацији ваздухоплова и организација за пројектовање и производњу) или испуњавају</w:t>
            </w:r>
          </w:p>
          <w:p w:rsidR="00E93BAD" w:rsidRPr="00E93BAD" w:rsidRDefault="00E93BAD" w:rsidP="00E93BAD">
            <w:pPr>
              <w:jc w:val="both"/>
              <w:rPr>
                <w:rFonts w:cs="Times New Roman"/>
                <w:noProof/>
                <w:sz w:val="20"/>
                <w:szCs w:val="20"/>
              </w:rPr>
            </w:pPr>
            <w:r w:rsidRPr="00E93BAD">
              <w:rPr>
                <w:rFonts w:cs="Times New Roman"/>
                <w:noProof/>
                <w:sz w:val="20"/>
                <w:szCs w:val="20"/>
              </w:rPr>
              <w:t>посебне захтеве пловидбености који се примењују на балоне регистроване у трећој земљи и који</w:t>
            </w:r>
          </w:p>
          <w:p w:rsidR="00E93BAD" w:rsidRPr="00E93BAD" w:rsidRDefault="00E93BAD" w:rsidP="00E93BAD">
            <w:pPr>
              <w:jc w:val="both"/>
              <w:rPr>
                <w:rFonts w:cs="Times New Roman"/>
                <w:noProof/>
                <w:sz w:val="20"/>
                <w:szCs w:val="20"/>
              </w:rPr>
            </w:pPr>
            <w:r w:rsidRPr="00E93BAD">
              <w:rPr>
                <w:rFonts w:cs="Times New Roman"/>
                <w:noProof/>
                <w:sz w:val="20"/>
                <w:szCs w:val="20"/>
              </w:rPr>
              <w:t>су предмет уговора о закупу са посадом или уговора о закупу без посаде, како је прописано у</w:t>
            </w:r>
          </w:p>
          <w:p w:rsidR="00E93BAD" w:rsidRPr="00E93BAD" w:rsidRDefault="00E93BAD" w:rsidP="00E93BAD">
            <w:pPr>
              <w:jc w:val="both"/>
              <w:rPr>
                <w:rFonts w:cs="Times New Roman"/>
                <w:noProof/>
                <w:sz w:val="20"/>
                <w:szCs w:val="20"/>
              </w:rPr>
            </w:pPr>
            <w:r w:rsidRPr="00E93BAD">
              <w:rPr>
                <w:rFonts w:cs="Times New Roman"/>
                <w:noProof/>
                <w:sz w:val="20"/>
                <w:szCs w:val="20"/>
              </w:rPr>
              <w:t>Глави ADD, тач. BOP.ADD.110 и BOP.ADD.115б) и ц).</w:t>
            </w:r>
          </w:p>
          <w:p w:rsidR="00E93BAD" w:rsidRPr="00E93BAD" w:rsidRDefault="00E93BAD" w:rsidP="00E93BAD">
            <w:pPr>
              <w:jc w:val="both"/>
              <w:rPr>
                <w:rFonts w:cs="Times New Roman"/>
                <w:i/>
                <w:noProof/>
                <w:sz w:val="18"/>
                <w:szCs w:val="18"/>
              </w:rPr>
            </w:pPr>
            <w:r w:rsidRPr="00E93BAD">
              <w:rPr>
                <w:rFonts w:cs="Times New Roman"/>
                <w:i/>
                <w:noProof/>
                <w:sz w:val="18"/>
                <w:szCs w:val="18"/>
              </w:rPr>
              <w:t>All balloons operated either have a certificate of airworthiness issued in accordance with Regulation (EU) No 748/2012 (implemented in the Republic of Serbia through the Regulation on certification of aircraft and design and production organisations) or meet the specific airworthiness requirements applicable to balloons that are registered in a third country and are subject to a wet lease agreement or a dry lease agreement, as required by points BOP.ADD.110 and BOP.ADD.115(b) and (c) of Subpart ADD.</w:t>
            </w:r>
          </w:p>
        </w:tc>
      </w:tr>
      <w:tr w:rsidR="00E93BAD" w:rsidRPr="00E93BAD" w:rsidTr="00B4296D">
        <w:tc>
          <w:tcPr>
            <w:tcW w:w="9350" w:type="dxa"/>
            <w:gridSpan w:val="5"/>
          </w:tcPr>
          <w:p w:rsidR="00E93BAD" w:rsidRPr="00E93BAD" w:rsidRDefault="00E93BAD" w:rsidP="00E93BAD">
            <w:pPr>
              <w:jc w:val="both"/>
              <w:rPr>
                <w:rFonts w:cs="Times New Roman"/>
                <w:noProof/>
                <w:sz w:val="20"/>
                <w:szCs w:val="20"/>
              </w:rPr>
            </w:pPr>
            <w:r w:rsidRPr="00E93BAD">
              <w:rPr>
                <w:rFonts w:ascii="Calibri" w:hAnsi="Calibri" w:cs="Times New Roman"/>
                <w:noProof/>
                <w:sz w:val="20"/>
                <w:szCs w:val="20"/>
              </w:rPr>
              <mc:AlternateContent>
                <mc:Choice Requires="wps">
                  <w:drawing>
                    <wp:anchor distT="0" distB="0" distL="114300" distR="114300" simplePos="0" relativeHeight="251662336" behindDoc="0" locked="0" layoutInCell="1" allowOverlap="1" wp14:anchorId="6C73355F" wp14:editId="1AD373E7">
                      <wp:simplePos x="0" y="0"/>
                      <wp:positionH relativeFrom="column">
                        <wp:posOffset>-6350</wp:posOffset>
                      </wp:positionH>
                      <wp:positionV relativeFrom="paragraph">
                        <wp:posOffset>4445</wp:posOffset>
                      </wp:positionV>
                      <wp:extent cx="129653" cy="122829"/>
                      <wp:effectExtent l="0" t="0" r="22860" b="10795"/>
                      <wp:wrapNone/>
                      <wp:docPr id="4" name="Rectangle 4"/>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1C73E" id="Rectangle 4" o:spid="_x0000_s1026" style="position:absolute;margin-left:-.5pt;margin-top:.35pt;width:10.2pt;height:9.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" fillcolor="window" strokecolor="windowText"/>
                  </w:pict>
                </mc:Fallback>
              </mc:AlternateContent>
            </w:r>
            <w:r w:rsidRPr="00E93BAD">
              <w:rPr>
                <w:rFonts w:ascii="Calibri" w:hAnsi="Calibri" w:cs="Times New Roman"/>
                <w:noProof/>
                <w:sz w:val="20"/>
                <w:szCs w:val="20"/>
              </w:rPr>
              <w:t xml:space="preserve">       </w:t>
            </w:r>
            <w:r w:rsidRPr="00E93BAD">
              <w:rPr>
                <w:rFonts w:cs="Times New Roman"/>
                <w:noProof/>
                <w:sz w:val="20"/>
                <w:szCs w:val="20"/>
              </w:rPr>
              <w:t>Сви чланови летачке посаде поседују дозволу и овлашћења који су издати или прихваћени</w:t>
            </w:r>
          </w:p>
          <w:p w:rsidR="00E93BAD" w:rsidRPr="00E93BAD" w:rsidRDefault="00E93BAD" w:rsidP="00E93BAD">
            <w:pPr>
              <w:jc w:val="both"/>
              <w:rPr>
                <w:rFonts w:cs="Times New Roman"/>
                <w:noProof/>
                <w:sz w:val="20"/>
                <w:szCs w:val="20"/>
              </w:rPr>
            </w:pPr>
            <w:r w:rsidRPr="00E93BAD">
              <w:rPr>
                <w:rFonts w:cs="Times New Roman"/>
                <w:noProof/>
                <w:sz w:val="20"/>
                <w:szCs w:val="20"/>
              </w:rPr>
              <w:t>у складу са Анексом III Уредбе (ЕУ) 2018/395, како је прописано у Глави ADD, тачка</w:t>
            </w:r>
          </w:p>
          <w:p w:rsidR="00E93BAD" w:rsidRPr="00E93BAD" w:rsidRDefault="00E93BAD" w:rsidP="00E93BAD">
            <w:pPr>
              <w:jc w:val="both"/>
              <w:rPr>
                <w:rFonts w:cs="Times New Roman"/>
                <w:noProof/>
                <w:sz w:val="20"/>
                <w:szCs w:val="20"/>
              </w:rPr>
            </w:pPr>
            <w:r w:rsidRPr="00E93BAD">
              <w:rPr>
                <w:rFonts w:cs="Times New Roman"/>
                <w:noProof/>
                <w:sz w:val="20"/>
                <w:szCs w:val="20"/>
              </w:rPr>
              <w:t>BOP.ADD.300 ц).</w:t>
            </w:r>
          </w:p>
          <w:p w:rsidR="00E93BAD" w:rsidRPr="00E93BAD" w:rsidRDefault="00E93BAD" w:rsidP="00E93BAD">
            <w:pPr>
              <w:jc w:val="both"/>
              <w:rPr>
                <w:rFonts w:cs="Times New Roman"/>
                <w:i/>
                <w:noProof/>
                <w:sz w:val="18"/>
                <w:szCs w:val="18"/>
              </w:rPr>
            </w:pPr>
            <w:r w:rsidRPr="00E93BAD">
              <w:rPr>
                <w:rFonts w:cs="Times New Roman"/>
                <w:i/>
                <w:noProof/>
                <w:sz w:val="18"/>
                <w:szCs w:val="18"/>
              </w:rPr>
              <w:t>All flight crew members hold a licence and ratings issued or accepted in accordance with Annex III to Regulation (EU) 2018/395, as required by point BOP.ADD.300(c) of Subpart ADD.</w:t>
            </w:r>
          </w:p>
        </w:tc>
      </w:tr>
      <w:tr w:rsidR="00E93BAD" w:rsidRPr="00E93BAD" w:rsidTr="00B4296D">
        <w:tc>
          <w:tcPr>
            <w:tcW w:w="9350" w:type="dxa"/>
            <w:gridSpan w:val="5"/>
          </w:tcPr>
          <w:p w:rsidR="00E93BAD" w:rsidRPr="00E93BAD" w:rsidRDefault="00E93BAD" w:rsidP="00E93BAD">
            <w:pPr>
              <w:jc w:val="both"/>
              <w:rPr>
                <w:rFonts w:cs="Times New Roman"/>
                <w:noProof/>
                <w:sz w:val="20"/>
                <w:szCs w:val="20"/>
              </w:rPr>
            </w:pPr>
            <w:r w:rsidRPr="00E93BAD">
              <w:rPr>
                <w:rFonts w:ascii="Calibri" w:hAnsi="Calibri" w:cs="Times New Roman"/>
                <w:noProof/>
                <w:sz w:val="20"/>
                <w:szCs w:val="20"/>
              </w:rPr>
              <mc:AlternateContent>
                <mc:Choice Requires="wps">
                  <w:drawing>
                    <wp:anchor distT="0" distB="0" distL="114300" distR="114300" simplePos="0" relativeHeight="251663360" behindDoc="0" locked="0" layoutInCell="1" allowOverlap="1" wp14:anchorId="3D121818" wp14:editId="7A332CE1">
                      <wp:simplePos x="0" y="0"/>
                      <wp:positionH relativeFrom="column">
                        <wp:posOffset>-6350</wp:posOffset>
                      </wp:positionH>
                      <wp:positionV relativeFrom="paragraph">
                        <wp:posOffset>0</wp:posOffset>
                      </wp:positionV>
                      <wp:extent cx="129653" cy="122829"/>
                      <wp:effectExtent l="0" t="0" r="22860" b="10795"/>
                      <wp:wrapNone/>
                      <wp:docPr id="5" name="Rectangle 5"/>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80873" id="Rectangle 5" o:spid="_x0000_s1026" style="position:absolute;margin-left:-.5pt;margin-top:0;width:10.2pt;height:9.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" fillcolor="window" strokecolor="windowText"/>
                  </w:pict>
                </mc:Fallback>
              </mc:AlternateContent>
            </w:r>
            <w:r w:rsidRPr="00E93BAD">
              <w:rPr>
                <w:rFonts w:ascii="Calibri" w:hAnsi="Calibri" w:cs="Times New Roman"/>
                <w:noProof/>
                <w:sz w:val="20"/>
                <w:szCs w:val="20"/>
              </w:rPr>
              <w:t xml:space="preserve">      </w:t>
            </w:r>
            <w:r w:rsidRPr="00E93BAD">
              <w:rPr>
                <w:rFonts w:cs="Times New Roman"/>
                <w:noProof/>
                <w:sz w:val="20"/>
                <w:szCs w:val="20"/>
              </w:rPr>
              <w:t>Оператер ће обавестити Директорат цивилног ваздухопловства Републике Србије о свакој</w:t>
            </w:r>
          </w:p>
          <w:p w:rsidR="00E93BAD" w:rsidRPr="00E93BAD" w:rsidRDefault="00E93BAD" w:rsidP="00E93BAD">
            <w:pPr>
              <w:jc w:val="both"/>
              <w:rPr>
                <w:rFonts w:cs="Times New Roman"/>
                <w:noProof/>
                <w:sz w:val="20"/>
                <w:szCs w:val="20"/>
              </w:rPr>
            </w:pPr>
            <w:r w:rsidRPr="00E93BAD">
              <w:rPr>
                <w:rFonts w:cs="Times New Roman"/>
                <w:noProof/>
                <w:sz w:val="20"/>
                <w:szCs w:val="20"/>
              </w:rPr>
              <w:t>измени околности које утичу на његову усаглашеност са основним захтевима садржаним у</w:t>
            </w:r>
          </w:p>
          <w:p w:rsidR="00E93BAD" w:rsidRPr="00E93BAD" w:rsidRDefault="00E93BAD" w:rsidP="00E93BAD">
            <w:pPr>
              <w:jc w:val="both"/>
              <w:rPr>
                <w:rFonts w:cs="Times New Roman"/>
                <w:noProof/>
                <w:sz w:val="20"/>
                <w:szCs w:val="20"/>
              </w:rPr>
            </w:pPr>
            <w:r w:rsidRPr="00E93BAD">
              <w:rPr>
                <w:rFonts w:cs="Times New Roman"/>
                <w:noProof/>
                <w:sz w:val="20"/>
                <w:szCs w:val="20"/>
              </w:rPr>
              <w:t>Анексу V Уредбе (ЕУ) 2018/1139 и захтевима садржаним у Уредби (ЕУ) 2018/395, које је навео у</w:t>
            </w:r>
          </w:p>
          <w:p w:rsidR="00E93BAD" w:rsidRPr="00E93BAD" w:rsidRDefault="00E93BAD" w:rsidP="00E93BAD">
            <w:pPr>
              <w:jc w:val="both"/>
              <w:rPr>
                <w:rFonts w:cs="Times New Roman"/>
                <w:noProof/>
                <w:sz w:val="20"/>
                <w:szCs w:val="20"/>
              </w:rPr>
            </w:pPr>
            <w:r w:rsidRPr="00E93BAD">
              <w:rPr>
                <w:rFonts w:cs="Times New Roman"/>
                <w:noProof/>
                <w:sz w:val="20"/>
                <w:szCs w:val="20"/>
              </w:rPr>
              <w:t>овој изјави, као и о свакој измени информација и листа AltMoCs које су садржане у овој изјави и</w:t>
            </w:r>
          </w:p>
          <w:p w:rsidR="00E93BAD" w:rsidRPr="00E93BAD" w:rsidRDefault="00E93BAD" w:rsidP="00E93BAD">
            <w:pPr>
              <w:jc w:val="both"/>
              <w:rPr>
                <w:rFonts w:cs="Times New Roman"/>
                <w:noProof/>
                <w:sz w:val="20"/>
                <w:szCs w:val="20"/>
              </w:rPr>
            </w:pPr>
            <w:r w:rsidRPr="00E93BAD">
              <w:rPr>
                <w:rFonts w:cs="Times New Roman"/>
                <w:noProof/>
                <w:sz w:val="20"/>
                <w:szCs w:val="20"/>
              </w:rPr>
              <w:t>које су јој приложене, на начин прописан у Глави ADD, тачка BOP.ADD.105а).</w:t>
            </w:r>
          </w:p>
          <w:p w:rsidR="00E93BAD" w:rsidRPr="00E93BAD" w:rsidRDefault="00E93BAD" w:rsidP="00E93BAD">
            <w:pPr>
              <w:jc w:val="both"/>
              <w:rPr>
                <w:rFonts w:ascii="Calibri" w:hAnsi="Calibri" w:cs="Times New Roman"/>
                <w:i/>
                <w:noProof/>
                <w:sz w:val="18"/>
                <w:szCs w:val="18"/>
              </w:rPr>
            </w:pPr>
            <w:r w:rsidRPr="00E93BAD">
              <w:rPr>
                <w:rFonts w:cs="Times New Roman"/>
                <w:i/>
                <w:noProof/>
                <w:sz w:val="18"/>
                <w:szCs w:val="18"/>
              </w:rPr>
              <w:t>The operator will notify the competent authority of any changes in circumstances affecting its compliance with the essential requirements set out in Annex V to Regulation (EU) 2018/1139 and with the requirements of Regulation (EU) 2018/395 as declared to the competent authority through this declaration and any changes to the information and lists of AltMoCs included in and annexed to this declaration, as required by point BOP.ADD.105(a) of Subpart ADD.</w:t>
            </w:r>
          </w:p>
        </w:tc>
      </w:tr>
      <w:tr w:rsidR="00E93BAD" w:rsidRPr="00E93BAD" w:rsidTr="00B4296D">
        <w:tc>
          <w:tcPr>
            <w:tcW w:w="9350" w:type="dxa"/>
            <w:gridSpan w:val="5"/>
          </w:tcPr>
          <w:p w:rsidR="00E93BAD" w:rsidRPr="00E93BAD" w:rsidRDefault="00E93BAD" w:rsidP="00E93BAD">
            <w:pPr>
              <w:jc w:val="both"/>
              <w:rPr>
                <w:rFonts w:cs="Times New Roman"/>
                <w:noProof/>
                <w:sz w:val="20"/>
                <w:szCs w:val="20"/>
              </w:rPr>
            </w:pPr>
            <w:r w:rsidRPr="00E93BAD">
              <w:rPr>
                <w:rFonts w:ascii="Calibri" w:hAnsi="Calibri" w:cs="Times New Roman"/>
                <w:noProof/>
                <w:sz w:val="20"/>
                <w:szCs w:val="20"/>
              </w:rPr>
              <mc:AlternateContent>
                <mc:Choice Requires="wps">
                  <w:drawing>
                    <wp:anchor distT="0" distB="0" distL="114300" distR="114300" simplePos="0" relativeHeight="251664384" behindDoc="0" locked="0" layoutInCell="1" allowOverlap="1" wp14:anchorId="184D9D9D" wp14:editId="74A45CD5">
                      <wp:simplePos x="0" y="0"/>
                      <wp:positionH relativeFrom="column">
                        <wp:posOffset>-6350</wp:posOffset>
                      </wp:positionH>
                      <wp:positionV relativeFrom="paragraph">
                        <wp:posOffset>635</wp:posOffset>
                      </wp:positionV>
                      <wp:extent cx="129653" cy="122829"/>
                      <wp:effectExtent l="0" t="0" r="22860" b="10795"/>
                      <wp:wrapNone/>
                      <wp:docPr id="6" name="Rectangle 6"/>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3961D" id="Rectangle 6" o:spid="_x0000_s1026" style="position:absolute;margin-left:-.5pt;margin-top:.05pt;width:10.2pt;height:9.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" fillcolor="window" strokecolor="windowText"/>
                  </w:pict>
                </mc:Fallback>
              </mc:AlternateContent>
            </w:r>
            <w:r w:rsidRPr="00E93BAD">
              <w:rPr>
                <w:rFonts w:ascii="Calibri" w:hAnsi="Calibri" w:cs="Times New Roman"/>
                <w:noProof/>
                <w:sz w:val="20"/>
                <w:szCs w:val="20"/>
              </w:rPr>
              <w:t xml:space="preserve">      </w:t>
            </w:r>
            <w:r w:rsidRPr="00E93BAD">
              <w:rPr>
                <w:rFonts w:cs="Times New Roman"/>
                <w:noProof/>
                <w:sz w:val="20"/>
                <w:szCs w:val="20"/>
              </w:rPr>
              <w:t>Оператер потврђује да су сви подаци наведени у овој изјави, укључујући и њене прилоге,</w:t>
            </w:r>
          </w:p>
          <w:p w:rsidR="00E93BAD" w:rsidRPr="00E93BAD" w:rsidRDefault="00E93BAD" w:rsidP="00E93BAD">
            <w:pPr>
              <w:jc w:val="both"/>
              <w:rPr>
                <w:rFonts w:cs="Times New Roman"/>
                <w:noProof/>
                <w:sz w:val="20"/>
                <w:szCs w:val="20"/>
              </w:rPr>
            </w:pPr>
            <w:r w:rsidRPr="00E93BAD">
              <w:rPr>
                <w:rFonts w:cs="Times New Roman"/>
                <w:noProof/>
                <w:sz w:val="20"/>
                <w:szCs w:val="20"/>
              </w:rPr>
              <w:t>потпуни и тачни.</w:t>
            </w:r>
          </w:p>
          <w:p w:rsidR="00E93BAD" w:rsidRPr="00E93BAD" w:rsidRDefault="00E93BAD" w:rsidP="00E93BAD">
            <w:pPr>
              <w:jc w:val="both"/>
              <w:rPr>
                <w:rFonts w:ascii="Calibri" w:hAnsi="Calibri" w:cs="Times New Roman"/>
                <w:i/>
                <w:noProof/>
                <w:sz w:val="18"/>
                <w:szCs w:val="18"/>
              </w:rPr>
            </w:pPr>
            <w:r w:rsidRPr="00E93BAD">
              <w:rPr>
                <w:rFonts w:cs="Times New Roman"/>
                <w:i/>
                <w:noProof/>
                <w:sz w:val="18"/>
                <w:szCs w:val="18"/>
              </w:rPr>
              <w:t>The operator confirms that all information included in this declaration, including its annexes, is complete and correct</w:t>
            </w:r>
          </w:p>
        </w:tc>
      </w:tr>
      <w:tr w:rsidR="00E93BAD" w:rsidRPr="00E93BAD" w:rsidTr="00B4296D">
        <w:tc>
          <w:tcPr>
            <w:tcW w:w="9350" w:type="dxa"/>
            <w:gridSpan w:val="5"/>
          </w:tcPr>
          <w:p w:rsidR="00E93BAD" w:rsidRPr="00E93BAD" w:rsidRDefault="00E93BAD" w:rsidP="00E93BAD">
            <w:pPr>
              <w:rPr>
                <w:rFonts w:cs="Times New Roman"/>
                <w:noProof/>
                <w:sz w:val="20"/>
                <w:szCs w:val="20"/>
              </w:rPr>
            </w:pPr>
            <w:r w:rsidRPr="00E93BAD">
              <w:rPr>
                <w:rFonts w:cs="Times New Roman"/>
                <w:noProof/>
                <w:sz w:val="20"/>
                <w:szCs w:val="20"/>
              </w:rPr>
              <w:t>Датум, име, презиме и потпис одговорног руководиоца</w:t>
            </w:r>
          </w:p>
          <w:p w:rsidR="00E93BAD" w:rsidRPr="00E93BAD" w:rsidRDefault="00E93BAD" w:rsidP="00E93BAD">
            <w:pPr>
              <w:rPr>
                <w:rFonts w:ascii="Calibri" w:hAnsi="Calibri" w:cs="Times New Roman"/>
                <w:i/>
                <w:noProof/>
                <w:sz w:val="18"/>
                <w:szCs w:val="18"/>
              </w:rPr>
            </w:pPr>
            <w:r w:rsidRPr="00E93BAD">
              <w:rPr>
                <w:rFonts w:cs="Times New Roman"/>
                <w:i/>
                <w:noProof/>
                <w:sz w:val="18"/>
                <w:szCs w:val="18"/>
              </w:rPr>
              <w:t>Date, name and signature of the accountable manager</w:t>
            </w:r>
          </w:p>
        </w:tc>
      </w:tr>
    </w:tbl>
    <w:p w:rsidR="00444236" w:rsidRDefault="00444236" w:rsidP="00E93BAD">
      <w:pPr>
        <w:spacing w:after="0"/>
      </w:pPr>
    </w:p>
    <w:p w:rsidR="00E93BAD" w:rsidRDefault="00E93BAD" w:rsidP="00E93BAD">
      <w:pPr>
        <w:spacing w:after="0"/>
        <w:rPr>
          <w:rFonts w:cs="Times New Roman"/>
          <w:sz w:val="18"/>
          <w:szCs w:val="18"/>
        </w:rPr>
      </w:pPr>
      <w:r w:rsidRPr="00A00412">
        <w:rPr>
          <w:rFonts w:cs="Times New Roman"/>
          <w:sz w:val="18"/>
          <w:szCs w:val="18"/>
        </w:rPr>
        <w:t xml:space="preserve">(1) </w:t>
      </w:r>
      <w:proofErr w:type="spellStart"/>
      <w:r w:rsidRPr="00A00412">
        <w:rPr>
          <w:rFonts w:cs="Times New Roman"/>
          <w:sz w:val="18"/>
          <w:szCs w:val="18"/>
        </w:rPr>
        <w:t>Попунити</w:t>
      </w:r>
      <w:proofErr w:type="spellEnd"/>
      <w:r w:rsidRPr="00A00412">
        <w:rPr>
          <w:rFonts w:cs="Times New Roman"/>
          <w:sz w:val="18"/>
          <w:szCs w:val="18"/>
        </w:rPr>
        <w:t xml:space="preserve"> </w:t>
      </w:r>
      <w:proofErr w:type="spellStart"/>
      <w:r w:rsidRPr="00A00412">
        <w:rPr>
          <w:rFonts w:cs="Times New Roman"/>
          <w:sz w:val="18"/>
          <w:szCs w:val="18"/>
        </w:rPr>
        <w:t>табелу</w:t>
      </w:r>
      <w:proofErr w:type="spellEnd"/>
      <w:r w:rsidRPr="00A00412">
        <w:rPr>
          <w:rFonts w:cs="Times New Roman"/>
          <w:sz w:val="18"/>
          <w:szCs w:val="18"/>
        </w:rPr>
        <w:t xml:space="preserve">. </w:t>
      </w:r>
      <w:proofErr w:type="spellStart"/>
      <w:r w:rsidRPr="00A00412">
        <w:rPr>
          <w:rFonts w:cs="Times New Roman"/>
          <w:sz w:val="18"/>
          <w:szCs w:val="18"/>
        </w:rPr>
        <w:t>Ако</w:t>
      </w:r>
      <w:proofErr w:type="spellEnd"/>
      <w:r w:rsidRPr="00A00412">
        <w:rPr>
          <w:rFonts w:cs="Times New Roman"/>
          <w:sz w:val="18"/>
          <w:szCs w:val="18"/>
        </w:rPr>
        <w:t xml:space="preserve"> </w:t>
      </w:r>
      <w:proofErr w:type="spellStart"/>
      <w:r w:rsidRPr="00A00412">
        <w:rPr>
          <w:rFonts w:cs="Times New Roman"/>
          <w:sz w:val="18"/>
          <w:szCs w:val="18"/>
        </w:rPr>
        <w:t>недостаје</w:t>
      </w:r>
      <w:proofErr w:type="spellEnd"/>
      <w:r w:rsidRPr="00A00412">
        <w:rPr>
          <w:rFonts w:cs="Times New Roman"/>
          <w:sz w:val="18"/>
          <w:szCs w:val="18"/>
        </w:rPr>
        <w:t xml:space="preserve"> </w:t>
      </w:r>
      <w:proofErr w:type="spellStart"/>
      <w:r w:rsidRPr="00A00412">
        <w:rPr>
          <w:rFonts w:cs="Times New Roman"/>
          <w:sz w:val="18"/>
          <w:szCs w:val="18"/>
        </w:rPr>
        <w:t>простора</w:t>
      </w:r>
      <w:proofErr w:type="spellEnd"/>
      <w:r w:rsidRPr="00A00412">
        <w:rPr>
          <w:rFonts w:cs="Times New Roman"/>
          <w:sz w:val="18"/>
          <w:szCs w:val="18"/>
        </w:rPr>
        <w:t xml:space="preserve"> </w:t>
      </w:r>
      <w:proofErr w:type="spellStart"/>
      <w:r w:rsidRPr="00A00412">
        <w:rPr>
          <w:rFonts w:cs="Times New Roman"/>
          <w:sz w:val="18"/>
          <w:szCs w:val="18"/>
        </w:rPr>
        <w:t>да</w:t>
      </w:r>
      <w:proofErr w:type="spellEnd"/>
      <w:r w:rsidRPr="00A00412">
        <w:rPr>
          <w:rFonts w:cs="Times New Roman"/>
          <w:sz w:val="18"/>
          <w:szCs w:val="18"/>
        </w:rPr>
        <w:t xml:space="preserve"> </w:t>
      </w:r>
      <w:proofErr w:type="spellStart"/>
      <w:r w:rsidRPr="00A00412">
        <w:rPr>
          <w:rFonts w:cs="Times New Roman"/>
          <w:sz w:val="18"/>
          <w:szCs w:val="18"/>
        </w:rPr>
        <w:t>се</w:t>
      </w:r>
      <w:proofErr w:type="spellEnd"/>
      <w:r w:rsidRPr="00A00412">
        <w:rPr>
          <w:rFonts w:cs="Times New Roman"/>
          <w:sz w:val="18"/>
          <w:szCs w:val="18"/>
        </w:rPr>
        <w:t xml:space="preserve"> </w:t>
      </w:r>
      <w:proofErr w:type="spellStart"/>
      <w:r w:rsidRPr="00A00412">
        <w:rPr>
          <w:rFonts w:cs="Times New Roman"/>
          <w:sz w:val="18"/>
          <w:szCs w:val="18"/>
        </w:rPr>
        <w:t>унесу</w:t>
      </w:r>
      <w:proofErr w:type="spellEnd"/>
      <w:r w:rsidRPr="00A00412">
        <w:rPr>
          <w:rFonts w:cs="Times New Roman"/>
          <w:sz w:val="18"/>
          <w:szCs w:val="18"/>
        </w:rPr>
        <w:t xml:space="preserve"> </w:t>
      </w:r>
      <w:proofErr w:type="spellStart"/>
      <w:r w:rsidRPr="00A00412">
        <w:rPr>
          <w:rFonts w:cs="Times New Roman"/>
          <w:sz w:val="18"/>
          <w:szCs w:val="18"/>
        </w:rPr>
        <w:t>информације</w:t>
      </w:r>
      <w:proofErr w:type="spellEnd"/>
      <w:r w:rsidRPr="00A00412">
        <w:rPr>
          <w:rFonts w:cs="Times New Roman"/>
          <w:sz w:val="18"/>
          <w:szCs w:val="18"/>
        </w:rPr>
        <w:t xml:space="preserve">, </w:t>
      </w:r>
      <w:proofErr w:type="spellStart"/>
      <w:r w:rsidRPr="00A00412">
        <w:rPr>
          <w:rFonts w:cs="Times New Roman"/>
          <w:sz w:val="18"/>
          <w:szCs w:val="18"/>
        </w:rPr>
        <w:t>потребно</w:t>
      </w:r>
      <w:proofErr w:type="spellEnd"/>
      <w:r w:rsidRPr="00A00412">
        <w:rPr>
          <w:rFonts w:cs="Times New Roman"/>
          <w:sz w:val="18"/>
          <w:szCs w:val="18"/>
        </w:rPr>
        <w:t xml:space="preserve"> </w:t>
      </w:r>
      <w:proofErr w:type="spellStart"/>
      <w:r w:rsidRPr="00A00412">
        <w:rPr>
          <w:rFonts w:cs="Times New Roman"/>
          <w:sz w:val="18"/>
          <w:szCs w:val="18"/>
        </w:rPr>
        <w:t>их</w:t>
      </w:r>
      <w:proofErr w:type="spellEnd"/>
      <w:r w:rsidRPr="00A00412">
        <w:rPr>
          <w:rFonts w:cs="Times New Roman"/>
          <w:sz w:val="18"/>
          <w:szCs w:val="18"/>
        </w:rPr>
        <w:t xml:space="preserve"> </w:t>
      </w:r>
      <w:proofErr w:type="spellStart"/>
      <w:r w:rsidRPr="00A00412">
        <w:rPr>
          <w:rFonts w:cs="Times New Roman"/>
          <w:sz w:val="18"/>
          <w:szCs w:val="18"/>
        </w:rPr>
        <w:t>је</w:t>
      </w:r>
      <w:proofErr w:type="spellEnd"/>
      <w:r w:rsidRPr="00A00412">
        <w:rPr>
          <w:rFonts w:cs="Times New Roman"/>
          <w:sz w:val="18"/>
          <w:szCs w:val="18"/>
        </w:rPr>
        <w:t xml:space="preserve"> </w:t>
      </w:r>
      <w:proofErr w:type="spellStart"/>
      <w:r w:rsidRPr="00A00412">
        <w:rPr>
          <w:rFonts w:cs="Times New Roman"/>
          <w:sz w:val="18"/>
          <w:szCs w:val="18"/>
        </w:rPr>
        <w:t>приложити</w:t>
      </w:r>
      <w:proofErr w:type="spellEnd"/>
      <w:r w:rsidRPr="00A00412">
        <w:rPr>
          <w:rFonts w:cs="Times New Roman"/>
          <w:sz w:val="18"/>
          <w:szCs w:val="18"/>
        </w:rPr>
        <w:t xml:space="preserve"> </w:t>
      </w:r>
      <w:proofErr w:type="spellStart"/>
      <w:r w:rsidRPr="00A00412">
        <w:rPr>
          <w:rFonts w:cs="Times New Roman"/>
          <w:sz w:val="18"/>
          <w:szCs w:val="18"/>
        </w:rPr>
        <w:t>као</w:t>
      </w:r>
      <w:proofErr w:type="spellEnd"/>
      <w:r w:rsidRPr="00A00412">
        <w:rPr>
          <w:rFonts w:cs="Times New Roman"/>
          <w:sz w:val="18"/>
          <w:szCs w:val="18"/>
        </w:rPr>
        <w:t xml:space="preserve"> </w:t>
      </w:r>
      <w:proofErr w:type="spellStart"/>
      <w:r w:rsidRPr="00A00412">
        <w:rPr>
          <w:rFonts w:cs="Times New Roman"/>
          <w:sz w:val="18"/>
          <w:szCs w:val="18"/>
        </w:rPr>
        <w:t>засебан</w:t>
      </w:r>
      <w:proofErr w:type="spellEnd"/>
      <w:r w:rsidRPr="00A00412">
        <w:rPr>
          <w:rFonts w:cs="Times New Roman"/>
          <w:sz w:val="18"/>
          <w:szCs w:val="18"/>
        </w:rPr>
        <w:t xml:space="preserve"> </w:t>
      </w:r>
      <w:proofErr w:type="spellStart"/>
      <w:r w:rsidRPr="00A00412">
        <w:rPr>
          <w:rFonts w:cs="Times New Roman"/>
          <w:sz w:val="18"/>
          <w:szCs w:val="18"/>
        </w:rPr>
        <w:t>прилог</w:t>
      </w:r>
      <w:proofErr w:type="spellEnd"/>
      <w:r w:rsidRPr="00A00412">
        <w:rPr>
          <w:rFonts w:cs="Times New Roman"/>
          <w:sz w:val="18"/>
          <w:szCs w:val="18"/>
        </w:rPr>
        <w:t xml:space="preserve">. </w:t>
      </w:r>
      <w:proofErr w:type="spellStart"/>
      <w:r w:rsidRPr="00A00412">
        <w:rPr>
          <w:rFonts w:cs="Times New Roman"/>
          <w:sz w:val="18"/>
          <w:szCs w:val="18"/>
        </w:rPr>
        <w:t>Прилог</w:t>
      </w:r>
      <w:proofErr w:type="spellEnd"/>
      <w:r w:rsidRPr="00A00412">
        <w:rPr>
          <w:rFonts w:cs="Times New Roman"/>
          <w:sz w:val="18"/>
          <w:szCs w:val="18"/>
        </w:rPr>
        <w:t xml:space="preserve"> </w:t>
      </w:r>
      <w:proofErr w:type="spellStart"/>
      <w:r w:rsidRPr="00A00412">
        <w:rPr>
          <w:rFonts w:cs="Times New Roman"/>
          <w:sz w:val="18"/>
          <w:szCs w:val="18"/>
        </w:rPr>
        <w:t>мора</w:t>
      </w:r>
      <w:proofErr w:type="spellEnd"/>
      <w:r w:rsidRPr="00A00412">
        <w:rPr>
          <w:rFonts w:cs="Times New Roman"/>
          <w:sz w:val="18"/>
          <w:szCs w:val="18"/>
        </w:rPr>
        <w:t xml:space="preserve"> </w:t>
      </w:r>
      <w:proofErr w:type="spellStart"/>
      <w:r w:rsidRPr="00A00412">
        <w:rPr>
          <w:rFonts w:cs="Times New Roman"/>
          <w:sz w:val="18"/>
          <w:szCs w:val="18"/>
        </w:rPr>
        <w:t>да</w:t>
      </w:r>
      <w:proofErr w:type="spellEnd"/>
      <w:r w:rsidRPr="00A00412">
        <w:rPr>
          <w:rFonts w:cs="Times New Roman"/>
          <w:sz w:val="18"/>
          <w:szCs w:val="18"/>
        </w:rPr>
        <w:t xml:space="preserve"> </w:t>
      </w:r>
      <w:proofErr w:type="spellStart"/>
      <w:r w:rsidRPr="00A00412">
        <w:rPr>
          <w:rFonts w:cs="Times New Roman"/>
          <w:sz w:val="18"/>
          <w:szCs w:val="18"/>
        </w:rPr>
        <w:t>буде</w:t>
      </w:r>
      <w:proofErr w:type="spellEnd"/>
      <w:r w:rsidRPr="00A00412">
        <w:rPr>
          <w:rFonts w:cs="Times New Roman"/>
          <w:sz w:val="18"/>
          <w:szCs w:val="18"/>
        </w:rPr>
        <w:t xml:space="preserve"> </w:t>
      </w:r>
      <w:proofErr w:type="spellStart"/>
      <w:r w:rsidRPr="00A00412">
        <w:rPr>
          <w:rFonts w:cs="Times New Roman"/>
          <w:sz w:val="18"/>
          <w:szCs w:val="18"/>
        </w:rPr>
        <w:t>датиран</w:t>
      </w:r>
      <w:proofErr w:type="spellEnd"/>
      <w:r w:rsidRPr="00A00412">
        <w:rPr>
          <w:rFonts w:cs="Times New Roman"/>
          <w:sz w:val="18"/>
          <w:szCs w:val="18"/>
        </w:rPr>
        <w:t xml:space="preserve"> и </w:t>
      </w:r>
      <w:proofErr w:type="spellStart"/>
      <w:r w:rsidRPr="00A00412">
        <w:rPr>
          <w:rFonts w:cs="Times New Roman"/>
          <w:sz w:val="18"/>
          <w:szCs w:val="18"/>
        </w:rPr>
        <w:t>потписан</w:t>
      </w:r>
      <w:proofErr w:type="spellEnd"/>
      <w:r w:rsidRPr="00A00412">
        <w:rPr>
          <w:rFonts w:cs="Times New Roman"/>
          <w:sz w:val="18"/>
          <w:szCs w:val="18"/>
        </w:rPr>
        <w:t xml:space="preserve">. </w:t>
      </w:r>
    </w:p>
    <w:p w:rsidR="00E93BAD" w:rsidRPr="00A00412" w:rsidRDefault="00E93BAD" w:rsidP="00E93BAD">
      <w:pPr>
        <w:spacing w:after="0"/>
        <w:rPr>
          <w:rFonts w:cs="Times New Roman"/>
          <w:i/>
          <w:sz w:val="18"/>
          <w:szCs w:val="18"/>
        </w:rPr>
      </w:pPr>
      <w:r w:rsidRPr="00A00412">
        <w:rPr>
          <w:rFonts w:cs="Times New Roman"/>
          <w:i/>
          <w:sz w:val="18"/>
          <w:szCs w:val="18"/>
        </w:rPr>
        <w:t xml:space="preserve">Complete the table. If there is not enough space to list the information, it shall be listed in a separate annex. The annex shall be dated and signed. </w:t>
      </w:r>
    </w:p>
    <w:p w:rsidR="00E93BAD" w:rsidRDefault="00E93BAD" w:rsidP="00E93BAD">
      <w:pPr>
        <w:spacing w:after="0"/>
        <w:rPr>
          <w:rFonts w:cs="Times New Roman"/>
          <w:sz w:val="18"/>
          <w:szCs w:val="18"/>
        </w:rPr>
      </w:pPr>
      <w:r w:rsidRPr="00A00412">
        <w:rPr>
          <w:rFonts w:cs="Times New Roman"/>
          <w:sz w:val="18"/>
          <w:szCs w:val="18"/>
        </w:rPr>
        <w:t>(2) „</w:t>
      </w:r>
      <w:proofErr w:type="spellStart"/>
      <w:r w:rsidRPr="00A00412">
        <w:rPr>
          <w:rFonts w:cs="Times New Roman"/>
          <w:sz w:val="18"/>
          <w:szCs w:val="18"/>
        </w:rPr>
        <w:t>Врста</w:t>
      </w:r>
      <w:proofErr w:type="spellEnd"/>
      <w:r w:rsidRPr="00A00412">
        <w:rPr>
          <w:rFonts w:cs="Times New Roman"/>
          <w:sz w:val="18"/>
          <w:szCs w:val="18"/>
        </w:rPr>
        <w:t xml:space="preserve"> </w:t>
      </w:r>
      <w:proofErr w:type="spellStart"/>
      <w:r w:rsidRPr="00A00412">
        <w:rPr>
          <w:rFonts w:cs="Times New Roman"/>
          <w:sz w:val="18"/>
          <w:szCs w:val="18"/>
        </w:rPr>
        <w:t>летова</w:t>
      </w:r>
      <w:proofErr w:type="spellEnd"/>
      <w:r w:rsidRPr="00A00412">
        <w:rPr>
          <w:rFonts w:cs="Times New Roman"/>
          <w:sz w:val="18"/>
          <w:szCs w:val="18"/>
        </w:rPr>
        <w:t xml:space="preserve">” </w:t>
      </w:r>
      <w:proofErr w:type="spellStart"/>
      <w:r w:rsidRPr="00A00412">
        <w:rPr>
          <w:rFonts w:cs="Times New Roman"/>
          <w:sz w:val="18"/>
          <w:szCs w:val="18"/>
        </w:rPr>
        <w:t>се</w:t>
      </w:r>
      <w:proofErr w:type="spellEnd"/>
      <w:r w:rsidRPr="00A00412">
        <w:rPr>
          <w:rFonts w:cs="Times New Roman"/>
          <w:sz w:val="18"/>
          <w:szCs w:val="18"/>
        </w:rPr>
        <w:t xml:space="preserve"> </w:t>
      </w:r>
      <w:proofErr w:type="spellStart"/>
      <w:r w:rsidRPr="00A00412">
        <w:rPr>
          <w:rFonts w:cs="Times New Roman"/>
          <w:sz w:val="18"/>
          <w:szCs w:val="18"/>
        </w:rPr>
        <w:t>односи</w:t>
      </w:r>
      <w:proofErr w:type="spellEnd"/>
      <w:r w:rsidRPr="00A00412">
        <w:rPr>
          <w:rFonts w:cs="Times New Roman"/>
          <w:sz w:val="18"/>
          <w:szCs w:val="18"/>
        </w:rPr>
        <w:t xml:space="preserve"> </w:t>
      </w:r>
      <w:proofErr w:type="spellStart"/>
      <w:r w:rsidRPr="00A00412">
        <w:rPr>
          <w:rFonts w:cs="Times New Roman"/>
          <w:sz w:val="18"/>
          <w:szCs w:val="18"/>
        </w:rPr>
        <w:t>се</w:t>
      </w:r>
      <w:proofErr w:type="spellEnd"/>
      <w:r w:rsidRPr="00A00412">
        <w:rPr>
          <w:rFonts w:cs="Times New Roman"/>
          <w:sz w:val="18"/>
          <w:szCs w:val="18"/>
        </w:rPr>
        <w:t xml:space="preserve"> </w:t>
      </w:r>
      <w:proofErr w:type="spellStart"/>
      <w:r w:rsidRPr="00A00412">
        <w:rPr>
          <w:rFonts w:cs="Times New Roman"/>
          <w:sz w:val="18"/>
          <w:szCs w:val="18"/>
        </w:rPr>
        <w:t>на</w:t>
      </w:r>
      <w:proofErr w:type="spellEnd"/>
      <w:r w:rsidRPr="00A00412">
        <w:rPr>
          <w:rFonts w:cs="Times New Roman"/>
          <w:sz w:val="18"/>
          <w:szCs w:val="18"/>
        </w:rPr>
        <w:t xml:space="preserve"> </w:t>
      </w:r>
      <w:proofErr w:type="spellStart"/>
      <w:r w:rsidRPr="00A00412">
        <w:rPr>
          <w:rFonts w:cs="Times New Roman"/>
          <w:sz w:val="18"/>
          <w:szCs w:val="18"/>
        </w:rPr>
        <w:t>врсту</w:t>
      </w:r>
      <w:proofErr w:type="spellEnd"/>
      <w:r w:rsidRPr="00A00412">
        <w:rPr>
          <w:rFonts w:cs="Times New Roman"/>
          <w:sz w:val="18"/>
          <w:szCs w:val="18"/>
        </w:rPr>
        <w:t xml:space="preserve"> </w:t>
      </w:r>
      <w:proofErr w:type="spellStart"/>
      <w:r w:rsidRPr="00A00412">
        <w:rPr>
          <w:rFonts w:cs="Times New Roman"/>
          <w:sz w:val="18"/>
          <w:szCs w:val="18"/>
        </w:rPr>
        <w:t>комерцијалног</w:t>
      </w:r>
      <w:proofErr w:type="spellEnd"/>
      <w:r w:rsidRPr="00A00412">
        <w:rPr>
          <w:rFonts w:cs="Times New Roman"/>
          <w:sz w:val="18"/>
          <w:szCs w:val="18"/>
        </w:rPr>
        <w:t xml:space="preserve"> </w:t>
      </w:r>
      <w:proofErr w:type="spellStart"/>
      <w:r w:rsidRPr="00A00412">
        <w:rPr>
          <w:rFonts w:cs="Times New Roman"/>
          <w:sz w:val="18"/>
          <w:szCs w:val="18"/>
        </w:rPr>
        <w:t>летења</w:t>
      </w:r>
      <w:proofErr w:type="spellEnd"/>
      <w:r w:rsidRPr="00A00412">
        <w:rPr>
          <w:rFonts w:cs="Times New Roman"/>
          <w:sz w:val="18"/>
          <w:szCs w:val="18"/>
        </w:rPr>
        <w:t xml:space="preserve"> </w:t>
      </w:r>
      <w:proofErr w:type="spellStart"/>
      <w:r w:rsidRPr="00A00412">
        <w:rPr>
          <w:rFonts w:cs="Times New Roman"/>
          <w:sz w:val="18"/>
          <w:szCs w:val="18"/>
        </w:rPr>
        <w:t>које</w:t>
      </w:r>
      <w:proofErr w:type="spellEnd"/>
      <w:r w:rsidRPr="00A00412">
        <w:rPr>
          <w:rFonts w:cs="Times New Roman"/>
          <w:sz w:val="18"/>
          <w:szCs w:val="18"/>
        </w:rPr>
        <w:t xml:space="preserve"> </w:t>
      </w:r>
      <w:proofErr w:type="spellStart"/>
      <w:r w:rsidRPr="00A00412">
        <w:rPr>
          <w:rFonts w:cs="Times New Roman"/>
          <w:sz w:val="18"/>
          <w:szCs w:val="18"/>
        </w:rPr>
        <w:t>се</w:t>
      </w:r>
      <w:proofErr w:type="spellEnd"/>
      <w:r w:rsidRPr="00A00412">
        <w:rPr>
          <w:rFonts w:cs="Times New Roman"/>
          <w:sz w:val="18"/>
          <w:szCs w:val="18"/>
        </w:rPr>
        <w:t xml:space="preserve"> </w:t>
      </w:r>
      <w:proofErr w:type="spellStart"/>
      <w:r w:rsidRPr="00A00412">
        <w:rPr>
          <w:rFonts w:cs="Times New Roman"/>
          <w:sz w:val="18"/>
          <w:szCs w:val="18"/>
        </w:rPr>
        <w:t>обавља</w:t>
      </w:r>
      <w:proofErr w:type="spellEnd"/>
      <w:r w:rsidRPr="00A00412">
        <w:rPr>
          <w:rFonts w:cs="Times New Roman"/>
          <w:sz w:val="18"/>
          <w:szCs w:val="18"/>
        </w:rPr>
        <w:t xml:space="preserve"> </w:t>
      </w:r>
      <w:proofErr w:type="spellStart"/>
      <w:r w:rsidRPr="00A00412">
        <w:rPr>
          <w:rFonts w:cs="Times New Roman"/>
          <w:sz w:val="18"/>
          <w:szCs w:val="18"/>
        </w:rPr>
        <w:t>балоном</w:t>
      </w:r>
      <w:proofErr w:type="spellEnd"/>
      <w:r w:rsidRPr="00A00412">
        <w:rPr>
          <w:rFonts w:cs="Times New Roman"/>
          <w:sz w:val="18"/>
          <w:szCs w:val="18"/>
        </w:rPr>
        <w:t xml:space="preserve">. </w:t>
      </w:r>
    </w:p>
    <w:p w:rsidR="00E93BAD" w:rsidRPr="00A00412" w:rsidRDefault="00E93BAD" w:rsidP="00E93BAD">
      <w:pPr>
        <w:spacing w:after="0"/>
        <w:rPr>
          <w:rFonts w:cs="Times New Roman"/>
          <w:i/>
          <w:sz w:val="18"/>
          <w:szCs w:val="18"/>
        </w:rPr>
      </w:pPr>
      <w:r w:rsidRPr="00A00412">
        <w:rPr>
          <w:rFonts w:cs="Times New Roman"/>
          <w:i/>
          <w:sz w:val="18"/>
          <w:szCs w:val="18"/>
        </w:rPr>
        <w:t xml:space="preserve">‘Type(s) of operation’ refers to the type(s) of commercial operation conducted with the balloon. </w:t>
      </w:r>
    </w:p>
    <w:p w:rsidR="00E93BAD" w:rsidRDefault="00E93BAD" w:rsidP="00E93BAD">
      <w:pPr>
        <w:spacing w:after="0"/>
        <w:rPr>
          <w:rFonts w:cs="Times New Roman"/>
          <w:sz w:val="18"/>
          <w:szCs w:val="18"/>
        </w:rPr>
      </w:pPr>
      <w:r w:rsidRPr="00A00412">
        <w:rPr>
          <w:rFonts w:cs="Times New Roman"/>
          <w:sz w:val="18"/>
          <w:szCs w:val="18"/>
        </w:rPr>
        <w:t xml:space="preserve">(3) </w:t>
      </w:r>
      <w:proofErr w:type="spellStart"/>
      <w:r w:rsidRPr="00A00412">
        <w:rPr>
          <w:rFonts w:cs="Times New Roman"/>
          <w:sz w:val="18"/>
          <w:szCs w:val="18"/>
        </w:rPr>
        <w:t>Подаци</w:t>
      </w:r>
      <w:proofErr w:type="spellEnd"/>
      <w:r w:rsidRPr="00A00412">
        <w:rPr>
          <w:rFonts w:cs="Times New Roman"/>
          <w:sz w:val="18"/>
          <w:szCs w:val="18"/>
        </w:rPr>
        <w:t xml:space="preserve"> о </w:t>
      </w:r>
      <w:proofErr w:type="spellStart"/>
      <w:r w:rsidRPr="00A00412">
        <w:rPr>
          <w:rFonts w:cs="Times New Roman"/>
          <w:sz w:val="18"/>
          <w:szCs w:val="18"/>
        </w:rPr>
        <w:t>организацији</w:t>
      </w:r>
      <w:proofErr w:type="spellEnd"/>
      <w:r w:rsidRPr="00A00412">
        <w:rPr>
          <w:rFonts w:cs="Times New Roman"/>
          <w:sz w:val="18"/>
          <w:szCs w:val="18"/>
        </w:rPr>
        <w:t xml:space="preserve"> </w:t>
      </w:r>
      <w:proofErr w:type="spellStart"/>
      <w:r w:rsidRPr="00A00412">
        <w:rPr>
          <w:rFonts w:cs="Times New Roman"/>
          <w:sz w:val="18"/>
          <w:szCs w:val="18"/>
        </w:rPr>
        <w:t>која</w:t>
      </w:r>
      <w:proofErr w:type="spellEnd"/>
      <w:r w:rsidRPr="00A00412">
        <w:rPr>
          <w:rFonts w:cs="Times New Roman"/>
          <w:sz w:val="18"/>
          <w:szCs w:val="18"/>
        </w:rPr>
        <w:t xml:space="preserve"> </w:t>
      </w:r>
      <w:proofErr w:type="spellStart"/>
      <w:r w:rsidRPr="00A00412">
        <w:rPr>
          <w:rFonts w:cs="Times New Roman"/>
          <w:sz w:val="18"/>
          <w:szCs w:val="18"/>
        </w:rPr>
        <w:t>је</w:t>
      </w:r>
      <w:proofErr w:type="spellEnd"/>
      <w:r w:rsidRPr="00A00412">
        <w:rPr>
          <w:rFonts w:cs="Times New Roman"/>
          <w:sz w:val="18"/>
          <w:szCs w:val="18"/>
        </w:rPr>
        <w:t xml:space="preserve"> </w:t>
      </w:r>
      <w:proofErr w:type="spellStart"/>
      <w:r w:rsidRPr="00A00412">
        <w:rPr>
          <w:rFonts w:cs="Times New Roman"/>
          <w:sz w:val="18"/>
          <w:szCs w:val="18"/>
        </w:rPr>
        <w:t>одговорна</w:t>
      </w:r>
      <w:proofErr w:type="spellEnd"/>
      <w:r w:rsidRPr="00A00412">
        <w:rPr>
          <w:rFonts w:cs="Times New Roman"/>
          <w:sz w:val="18"/>
          <w:szCs w:val="18"/>
        </w:rPr>
        <w:t xml:space="preserve"> </w:t>
      </w:r>
      <w:proofErr w:type="spellStart"/>
      <w:r w:rsidRPr="00A00412">
        <w:rPr>
          <w:rFonts w:cs="Times New Roman"/>
          <w:sz w:val="18"/>
          <w:szCs w:val="18"/>
        </w:rPr>
        <w:t>за</w:t>
      </w:r>
      <w:proofErr w:type="spellEnd"/>
      <w:r w:rsidRPr="00A00412">
        <w:rPr>
          <w:rFonts w:cs="Times New Roman"/>
          <w:sz w:val="18"/>
          <w:szCs w:val="18"/>
        </w:rPr>
        <w:t xml:space="preserve"> </w:t>
      </w:r>
      <w:proofErr w:type="spellStart"/>
      <w:r w:rsidRPr="00A00412">
        <w:rPr>
          <w:rFonts w:cs="Times New Roman"/>
          <w:sz w:val="18"/>
          <w:szCs w:val="18"/>
        </w:rPr>
        <w:t>обезбеђивање</w:t>
      </w:r>
      <w:proofErr w:type="spellEnd"/>
      <w:r w:rsidRPr="00A00412">
        <w:rPr>
          <w:rFonts w:cs="Times New Roman"/>
          <w:sz w:val="18"/>
          <w:szCs w:val="18"/>
        </w:rPr>
        <w:t xml:space="preserve"> </w:t>
      </w:r>
      <w:proofErr w:type="spellStart"/>
      <w:r w:rsidRPr="00A00412">
        <w:rPr>
          <w:rFonts w:cs="Times New Roman"/>
          <w:sz w:val="18"/>
          <w:szCs w:val="18"/>
        </w:rPr>
        <w:t>континуиране</w:t>
      </w:r>
      <w:proofErr w:type="spellEnd"/>
      <w:r w:rsidRPr="00A00412">
        <w:rPr>
          <w:rFonts w:cs="Times New Roman"/>
          <w:sz w:val="18"/>
          <w:szCs w:val="18"/>
        </w:rPr>
        <w:t xml:space="preserve"> </w:t>
      </w:r>
      <w:proofErr w:type="spellStart"/>
      <w:r w:rsidRPr="00A00412">
        <w:rPr>
          <w:rFonts w:cs="Times New Roman"/>
          <w:sz w:val="18"/>
          <w:szCs w:val="18"/>
        </w:rPr>
        <w:t>пловидбености</w:t>
      </w:r>
      <w:proofErr w:type="spellEnd"/>
      <w:r w:rsidRPr="00A00412">
        <w:rPr>
          <w:rFonts w:cs="Times New Roman"/>
          <w:sz w:val="18"/>
          <w:szCs w:val="18"/>
        </w:rPr>
        <w:t xml:space="preserve"> </w:t>
      </w:r>
      <w:proofErr w:type="spellStart"/>
      <w:r w:rsidRPr="00A00412">
        <w:rPr>
          <w:rFonts w:cs="Times New Roman"/>
          <w:sz w:val="18"/>
          <w:szCs w:val="18"/>
        </w:rPr>
        <w:t>обухватају</w:t>
      </w:r>
      <w:proofErr w:type="spellEnd"/>
      <w:r w:rsidRPr="00A00412">
        <w:rPr>
          <w:rFonts w:cs="Times New Roman"/>
          <w:sz w:val="18"/>
          <w:szCs w:val="18"/>
        </w:rPr>
        <w:t xml:space="preserve"> </w:t>
      </w:r>
      <w:proofErr w:type="spellStart"/>
      <w:r w:rsidRPr="00A00412">
        <w:rPr>
          <w:rFonts w:cs="Times New Roman"/>
          <w:sz w:val="18"/>
          <w:szCs w:val="18"/>
        </w:rPr>
        <w:t>назив</w:t>
      </w:r>
      <w:proofErr w:type="spellEnd"/>
      <w:r w:rsidRPr="00A00412">
        <w:rPr>
          <w:rFonts w:cs="Times New Roman"/>
          <w:sz w:val="18"/>
          <w:szCs w:val="18"/>
        </w:rPr>
        <w:t xml:space="preserve"> </w:t>
      </w:r>
      <w:proofErr w:type="spellStart"/>
      <w:r w:rsidRPr="00A00412">
        <w:rPr>
          <w:rFonts w:cs="Times New Roman"/>
          <w:sz w:val="18"/>
          <w:szCs w:val="18"/>
        </w:rPr>
        <w:t>организације</w:t>
      </w:r>
      <w:proofErr w:type="spellEnd"/>
      <w:r w:rsidRPr="00A00412">
        <w:rPr>
          <w:rFonts w:cs="Times New Roman"/>
          <w:sz w:val="18"/>
          <w:szCs w:val="18"/>
        </w:rPr>
        <w:t xml:space="preserve">, </w:t>
      </w:r>
      <w:proofErr w:type="spellStart"/>
      <w:r w:rsidRPr="00A00412">
        <w:rPr>
          <w:rFonts w:cs="Times New Roman"/>
          <w:sz w:val="18"/>
          <w:szCs w:val="18"/>
        </w:rPr>
        <w:t>адресу</w:t>
      </w:r>
      <w:proofErr w:type="spellEnd"/>
      <w:r w:rsidRPr="00A00412">
        <w:rPr>
          <w:rFonts w:cs="Times New Roman"/>
          <w:sz w:val="18"/>
          <w:szCs w:val="18"/>
        </w:rPr>
        <w:t xml:space="preserve"> и </w:t>
      </w:r>
      <w:proofErr w:type="spellStart"/>
      <w:r w:rsidRPr="00A00412">
        <w:rPr>
          <w:rFonts w:cs="Times New Roman"/>
          <w:sz w:val="18"/>
          <w:szCs w:val="18"/>
        </w:rPr>
        <w:t>број</w:t>
      </w:r>
      <w:proofErr w:type="spellEnd"/>
      <w:r w:rsidRPr="00A00412">
        <w:rPr>
          <w:rFonts w:cs="Times New Roman"/>
          <w:sz w:val="18"/>
          <w:szCs w:val="18"/>
        </w:rPr>
        <w:t xml:space="preserve"> </w:t>
      </w:r>
      <w:proofErr w:type="spellStart"/>
      <w:r w:rsidRPr="00A00412">
        <w:rPr>
          <w:rFonts w:cs="Times New Roman"/>
          <w:sz w:val="18"/>
          <w:szCs w:val="18"/>
        </w:rPr>
        <w:t>одобрења</w:t>
      </w:r>
      <w:proofErr w:type="spellEnd"/>
      <w:r w:rsidRPr="00A00412">
        <w:rPr>
          <w:rFonts w:cs="Times New Roman"/>
          <w:sz w:val="18"/>
          <w:szCs w:val="18"/>
        </w:rPr>
        <w:t xml:space="preserve">. </w:t>
      </w:r>
    </w:p>
    <w:p w:rsidR="00E93BAD" w:rsidRPr="00CF279B" w:rsidRDefault="00E93BAD" w:rsidP="00E93BAD">
      <w:pPr>
        <w:rPr>
          <w:rFonts w:cs="Times New Roman"/>
          <w:i/>
          <w:sz w:val="18"/>
          <w:szCs w:val="18"/>
        </w:rPr>
      </w:pPr>
      <w:r w:rsidRPr="00CF279B">
        <w:rPr>
          <w:rFonts w:cs="Times New Roman"/>
          <w:i/>
          <w:sz w:val="18"/>
          <w:szCs w:val="18"/>
        </w:rPr>
        <w:t>Information about the organisation responsible for the continuing airworthiness management shall include the name of the organisation, the address and the approval reference.</w:t>
      </w:r>
      <w:r w:rsidR="00290742">
        <w:rPr>
          <w:rFonts w:cs="Times New Roman"/>
          <w:i/>
          <w:sz w:val="18"/>
          <w:szCs w:val="18"/>
        </w:rPr>
        <w:t>”</w:t>
      </w:r>
    </w:p>
    <w:p w:rsidR="00F23D22" w:rsidRDefault="00D0529E" w:rsidP="00241BDC">
      <w:pPr>
        <w:spacing w:after="0"/>
        <w:jc w:val="center"/>
      </w:pPr>
      <w:r>
        <w:rPr>
          <w:b/>
        </w:rPr>
        <w:lastRenderedPageBreak/>
        <w:t>Article 6</w:t>
      </w:r>
    </w:p>
    <w:p w:rsidR="004A402B" w:rsidRDefault="00D0529E" w:rsidP="00241BDC">
      <w:pPr>
        <w:ind w:firstLine="360"/>
      </w:pPr>
      <w:r>
        <w:t>This Regulation shall enter into force on the eighth day following its publication in the “Official</w:t>
      </w:r>
      <w:r w:rsidR="00241BDC">
        <w:t xml:space="preserve"> </w:t>
      </w:r>
      <w:r>
        <w:t>Gazette of the Republic of Serbia”.</w:t>
      </w:r>
      <w:r>
        <w:br/>
      </w:r>
      <w:r>
        <w:br/>
      </w:r>
    </w:p>
    <w:p w:rsidR="00C11406" w:rsidRDefault="00C11406" w:rsidP="00241BDC">
      <w:pPr>
        <w:ind w:firstLine="360"/>
      </w:pPr>
    </w:p>
    <w:p w:rsidR="00197209" w:rsidRDefault="00D0529E" w:rsidP="00197209">
      <w:pPr>
        <w:spacing w:after="0"/>
      </w:pPr>
      <w:r>
        <w:t>No: 5/1-01-0008/2025-0001</w:t>
      </w:r>
      <w:r>
        <w:br/>
        <w:t>In Belgrade, 23 July 2025</w:t>
      </w:r>
      <w:r>
        <w:br/>
      </w:r>
      <w:r>
        <w:br/>
      </w:r>
    </w:p>
    <w:p w:rsidR="00197209" w:rsidRPr="00611B3B" w:rsidRDefault="00D0529E" w:rsidP="00197209">
      <w:pPr>
        <w:spacing w:after="0"/>
        <w:ind w:left="7200"/>
        <w:rPr>
          <w:b/>
        </w:rPr>
      </w:pPr>
      <w:r w:rsidRPr="00611B3B">
        <w:rPr>
          <w:b/>
        </w:rPr>
        <w:t>Director</w:t>
      </w:r>
    </w:p>
    <w:p w:rsidR="00541B80" w:rsidRPr="00611B3B" w:rsidRDefault="00541B80" w:rsidP="00197209">
      <w:pPr>
        <w:spacing w:after="0"/>
        <w:ind w:left="7200"/>
        <w:rPr>
          <w:b/>
        </w:rPr>
      </w:pPr>
    </w:p>
    <w:p w:rsidR="0045354A" w:rsidRPr="00611B3B" w:rsidRDefault="00611B3B" w:rsidP="00611B3B">
      <w:pPr>
        <w:spacing w:after="0"/>
        <w:rPr>
          <w:b/>
        </w:rPr>
      </w:pPr>
      <w:r>
        <w:rPr>
          <w:b/>
        </w:rPr>
        <w:t xml:space="preserve">                                                                                                               </w:t>
      </w:r>
      <w:r w:rsidR="00D0529E" w:rsidRPr="00611B3B">
        <w:rPr>
          <w:b/>
        </w:rPr>
        <w:t>Mirjana</w:t>
      </w:r>
      <w:r>
        <w:rPr>
          <w:b/>
        </w:rPr>
        <w:t xml:space="preserve"> </w:t>
      </w:r>
      <w:r w:rsidR="007C0458">
        <w:rPr>
          <w:b/>
        </w:rPr>
        <w:t>Č</w:t>
      </w:r>
      <w:r w:rsidR="00D0529E" w:rsidRPr="00611B3B">
        <w:rPr>
          <w:b/>
        </w:rPr>
        <w:t>izmarov</w:t>
      </w:r>
    </w:p>
    <w:p w:rsidR="0045354A" w:rsidRDefault="0045354A"/>
    <w:sectPr w:rsidR="004535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NjMwNzAyt7AwNDNQ0lEKTi0uzszPAykwqgUAxGD3SCwAAAA="/>
  </w:docVars>
  <w:rsids>
    <w:rsidRoot w:val="00B47730"/>
    <w:rsid w:val="00034616"/>
    <w:rsid w:val="0006063C"/>
    <w:rsid w:val="0015074B"/>
    <w:rsid w:val="00197209"/>
    <w:rsid w:val="0022499C"/>
    <w:rsid w:val="0023155C"/>
    <w:rsid w:val="00241BDC"/>
    <w:rsid w:val="00290742"/>
    <w:rsid w:val="0029639D"/>
    <w:rsid w:val="00326F90"/>
    <w:rsid w:val="00357F3E"/>
    <w:rsid w:val="00382D1C"/>
    <w:rsid w:val="00444236"/>
    <w:rsid w:val="0044510E"/>
    <w:rsid w:val="0045354A"/>
    <w:rsid w:val="00497F58"/>
    <w:rsid w:val="004A402B"/>
    <w:rsid w:val="00523AD2"/>
    <w:rsid w:val="00541B80"/>
    <w:rsid w:val="00611B3B"/>
    <w:rsid w:val="00681425"/>
    <w:rsid w:val="00786087"/>
    <w:rsid w:val="007C0458"/>
    <w:rsid w:val="007E4967"/>
    <w:rsid w:val="0088211D"/>
    <w:rsid w:val="0096599C"/>
    <w:rsid w:val="00A3074C"/>
    <w:rsid w:val="00AA1D8D"/>
    <w:rsid w:val="00B07BD6"/>
    <w:rsid w:val="00B47730"/>
    <w:rsid w:val="00B75BE8"/>
    <w:rsid w:val="00C11406"/>
    <w:rsid w:val="00CB0664"/>
    <w:rsid w:val="00D0529E"/>
    <w:rsid w:val="00D221F1"/>
    <w:rsid w:val="00D80CCE"/>
    <w:rsid w:val="00E93BAD"/>
    <w:rsid w:val="00F23D22"/>
    <w:rsid w:val="00F873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D3705D3-E930-4376-9FC0-E4DF1A5B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E93B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F7551-CF2C-44F9-91DD-F71B1FB9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Dragana Lukovic</cp:lastModifiedBy>
  <cp:revision>2</cp:revision>
  <dcterms:created xsi:type="dcterms:W3CDTF">2025-12-09T14:03:00Z</dcterms:created>
  <dcterms:modified xsi:type="dcterms:W3CDTF">2025-12-09T14:03:00Z</dcterms:modified>
  <cp:category/>
</cp:coreProperties>
</file>